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DC298" w14:textId="78FF8007" w:rsidR="005F062C" w:rsidRPr="00F03D16" w:rsidRDefault="005F062C" w:rsidP="00AF12F2">
      <w:pPr>
        <w:pStyle w:val="1"/>
        <w:keepNext w:val="0"/>
        <w:numPr>
          <w:ilvl w:val="0"/>
          <w:numId w:val="20"/>
        </w:numPr>
        <w:shd w:val="clear" w:color="auto" w:fill="auto"/>
        <w:snapToGrid/>
        <w:spacing w:before="0" w:line="240" w:lineRule="auto"/>
        <w:ind w:left="720" w:right="0" w:hanging="360"/>
        <w:jc w:val="left"/>
        <w:rPr>
          <w:color w:val="auto"/>
          <w:szCs w:val="24"/>
        </w:rPr>
      </w:pPr>
      <w:bookmarkStart w:id="0" w:name="_Toc524351259"/>
      <w:r w:rsidRPr="00F03D16">
        <w:rPr>
          <w:color w:val="auto"/>
          <w:szCs w:val="24"/>
        </w:rPr>
        <w:t>WORK SCOPE</w:t>
      </w:r>
      <w:bookmarkEnd w:id="0"/>
    </w:p>
    <w:p w14:paraId="7CDF91C3" w14:textId="77777777" w:rsidR="00AF12F2" w:rsidRPr="00F03D16" w:rsidRDefault="00AF12F2" w:rsidP="00AF12F2"/>
    <w:p w14:paraId="6C3F09AC" w14:textId="45092058" w:rsidR="005F062C" w:rsidRPr="00F03D16" w:rsidRDefault="005F062C" w:rsidP="00AF12F2">
      <w:pPr>
        <w:ind w:left="360"/>
        <w:jc w:val="both"/>
        <w:rPr>
          <w:rFonts w:ascii="Times New Roman" w:hAnsi="Times New Roman"/>
          <w:b/>
        </w:rPr>
      </w:pPr>
      <w:r w:rsidRPr="00F03D16">
        <w:rPr>
          <w:rFonts w:ascii="Times New Roman" w:hAnsi="Times New Roman"/>
          <w:b/>
        </w:rPr>
        <w:t>LOT 1</w:t>
      </w:r>
    </w:p>
    <w:p w14:paraId="0A2A9B20" w14:textId="77777777" w:rsidR="001306B6" w:rsidRPr="00F03D16" w:rsidRDefault="001306B6" w:rsidP="00AF12F2">
      <w:pPr>
        <w:jc w:val="both"/>
        <w:rPr>
          <w:rFonts w:ascii="Times New Roman" w:hAnsi="Times New Roman"/>
          <w:b/>
        </w:rPr>
      </w:pPr>
    </w:p>
    <w:p w14:paraId="4962FE20" w14:textId="378EB30D" w:rsidR="005F062C" w:rsidRPr="00F03D16" w:rsidRDefault="00F37414" w:rsidP="00AF12F2">
      <w:pPr>
        <w:pStyle w:val="a5"/>
        <w:numPr>
          <w:ilvl w:val="0"/>
          <w:numId w:val="19"/>
        </w:numPr>
        <w:jc w:val="both"/>
        <w:rPr>
          <w:rFonts w:ascii="Times New Roman" w:hAnsi="Times New Roman"/>
        </w:rPr>
      </w:pPr>
      <w:r w:rsidRPr="00F03D16">
        <w:rPr>
          <w:rFonts w:ascii="Times New Roman" w:hAnsi="Times New Roman"/>
          <w:b/>
        </w:rPr>
        <w:t>Advisory services and legal representation in the following practice areas in Mexico</w:t>
      </w:r>
      <w:r w:rsidR="005F062C" w:rsidRPr="00F03D16">
        <w:rPr>
          <w:rFonts w:ascii="Times New Roman" w:hAnsi="Times New Roman"/>
        </w:rPr>
        <w:t>:</w:t>
      </w:r>
    </w:p>
    <w:p w14:paraId="0189C519" w14:textId="0AF41CE3" w:rsidR="002960AD" w:rsidRPr="00F03D16" w:rsidRDefault="00F37A2E" w:rsidP="00AF12F2">
      <w:pPr>
        <w:pStyle w:val="a5"/>
        <w:numPr>
          <w:ilvl w:val="1"/>
          <w:numId w:val="19"/>
        </w:numPr>
        <w:tabs>
          <w:tab w:val="left" w:pos="810"/>
        </w:tabs>
        <w:ind w:left="0" w:firstLine="360"/>
        <w:jc w:val="both"/>
        <w:rPr>
          <w:rFonts w:ascii="Times New Roman" w:hAnsi="Times New Roman"/>
        </w:rPr>
      </w:pPr>
      <w:r w:rsidRPr="00F03D16">
        <w:rPr>
          <w:rFonts w:ascii="Times New Roman" w:hAnsi="Times New Roman"/>
        </w:rPr>
        <w:t>Full range l</w:t>
      </w:r>
      <w:r w:rsidR="005F062C" w:rsidRPr="00F03D16">
        <w:rPr>
          <w:rFonts w:ascii="Times New Roman" w:hAnsi="Times New Roman"/>
        </w:rPr>
        <w:t xml:space="preserve">egislation and legal matters </w:t>
      </w:r>
      <w:r w:rsidRPr="00F03D16">
        <w:rPr>
          <w:rFonts w:ascii="Times New Roman" w:hAnsi="Times New Roman"/>
        </w:rPr>
        <w:t xml:space="preserve">support </w:t>
      </w:r>
      <w:r w:rsidR="005F062C" w:rsidRPr="00F03D16">
        <w:rPr>
          <w:rFonts w:ascii="Times New Roman" w:hAnsi="Times New Roman"/>
        </w:rPr>
        <w:t>under the laws of Mexico, including but not limited to</w:t>
      </w:r>
      <w:r w:rsidRPr="00F03D16">
        <w:rPr>
          <w:rFonts w:ascii="Times New Roman" w:hAnsi="Times New Roman"/>
        </w:rPr>
        <w:t>,</w:t>
      </w:r>
      <w:r w:rsidR="005F062C" w:rsidRPr="00F03D16">
        <w:rPr>
          <w:rFonts w:ascii="Times New Roman" w:hAnsi="Times New Roman"/>
        </w:rPr>
        <w:t xml:space="preserve"> oil and gas </w:t>
      </w:r>
      <w:r w:rsidR="002960AD" w:rsidRPr="00F03D16">
        <w:rPr>
          <w:rFonts w:ascii="Times New Roman" w:hAnsi="Times New Roman"/>
        </w:rPr>
        <w:t xml:space="preserve">sector </w:t>
      </w:r>
      <w:r w:rsidR="005F062C" w:rsidRPr="00F03D16">
        <w:rPr>
          <w:rFonts w:ascii="Times New Roman" w:hAnsi="Times New Roman"/>
        </w:rPr>
        <w:t>(</w:t>
      </w:r>
      <w:r w:rsidR="00935279" w:rsidRPr="00F03D16">
        <w:rPr>
          <w:rFonts w:ascii="Times New Roman" w:hAnsi="Times New Roman"/>
        </w:rPr>
        <w:t xml:space="preserve">including </w:t>
      </w:r>
      <w:r w:rsidR="005F062C" w:rsidRPr="00F03D16">
        <w:rPr>
          <w:rFonts w:ascii="Times New Roman" w:hAnsi="Times New Roman"/>
        </w:rPr>
        <w:t>offshore</w:t>
      </w:r>
      <w:r w:rsidR="00935279" w:rsidRPr="00F03D16">
        <w:rPr>
          <w:rFonts w:ascii="Times New Roman" w:hAnsi="Times New Roman"/>
        </w:rPr>
        <w:t xml:space="preserve"> and</w:t>
      </w:r>
      <w:r w:rsidR="005F062C" w:rsidRPr="00F03D16">
        <w:rPr>
          <w:rFonts w:ascii="Times New Roman" w:hAnsi="Times New Roman"/>
        </w:rPr>
        <w:t xml:space="preserve"> shallow water), upstream M&amp;A, farm-ins/outs, production, operational, marketing</w:t>
      </w:r>
      <w:r w:rsidR="00FA00F1" w:rsidRPr="00F03D16">
        <w:rPr>
          <w:rFonts w:ascii="Times New Roman" w:hAnsi="Times New Roman"/>
        </w:rPr>
        <w:t xml:space="preserve"> issues,</w:t>
      </w:r>
      <w:r w:rsidR="00D81A2D" w:rsidRPr="00F03D16">
        <w:rPr>
          <w:rFonts w:ascii="Times New Roman" w:hAnsi="Times New Roman"/>
        </w:rPr>
        <w:t xml:space="preserve"> </w:t>
      </w:r>
      <w:r w:rsidR="005F062C" w:rsidRPr="00F03D16">
        <w:rPr>
          <w:rFonts w:ascii="Times New Roman" w:hAnsi="Times New Roman"/>
        </w:rPr>
        <w:t>construction, administrative, commercial, corporate,</w:t>
      </w:r>
      <w:r w:rsidR="00FA00F1" w:rsidRPr="00F03D16">
        <w:rPr>
          <w:rFonts w:ascii="Times New Roman" w:hAnsi="Times New Roman"/>
        </w:rPr>
        <w:t xml:space="preserve"> banking,</w:t>
      </w:r>
      <w:r w:rsidR="005F062C" w:rsidRPr="00F03D16">
        <w:rPr>
          <w:rFonts w:ascii="Times New Roman" w:hAnsi="Times New Roman"/>
        </w:rPr>
        <w:t xml:space="preserve"> environmental, </w:t>
      </w:r>
      <w:r w:rsidR="00E246B9" w:rsidRPr="00F03D16">
        <w:rPr>
          <w:rFonts w:ascii="Times New Roman" w:hAnsi="Times New Roman"/>
        </w:rPr>
        <w:t xml:space="preserve">transport, customs, </w:t>
      </w:r>
      <w:r w:rsidR="005F062C" w:rsidRPr="00F03D16">
        <w:rPr>
          <w:rFonts w:ascii="Times New Roman" w:hAnsi="Times New Roman"/>
        </w:rPr>
        <w:t>employment</w:t>
      </w:r>
      <w:r w:rsidR="002960AD" w:rsidRPr="00F03D16">
        <w:rPr>
          <w:rFonts w:ascii="Times New Roman" w:hAnsi="Times New Roman"/>
        </w:rPr>
        <w:t xml:space="preserve"> law,</w:t>
      </w:r>
      <w:r w:rsidR="005F062C" w:rsidRPr="00F03D16">
        <w:rPr>
          <w:rFonts w:ascii="Times New Roman" w:hAnsi="Times New Roman"/>
        </w:rPr>
        <w:t xml:space="preserve"> vendor/supply contracts etc.</w:t>
      </w:r>
      <w:r w:rsidR="00E246B9" w:rsidRPr="00F03D16">
        <w:rPr>
          <w:rFonts w:ascii="Times New Roman" w:hAnsi="Times New Roman"/>
        </w:rPr>
        <w:t xml:space="preserve"> </w:t>
      </w:r>
    </w:p>
    <w:p w14:paraId="2EF95ECE" w14:textId="2B3E1437" w:rsidR="002960AD" w:rsidRPr="00F03D16" w:rsidRDefault="00CD681B" w:rsidP="00AF12F2">
      <w:pPr>
        <w:pStyle w:val="a5"/>
        <w:numPr>
          <w:ilvl w:val="1"/>
          <w:numId w:val="19"/>
        </w:numPr>
        <w:tabs>
          <w:tab w:val="left" w:pos="810"/>
        </w:tabs>
        <w:ind w:left="0" w:firstLine="360"/>
        <w:jc w:val="both"/>
        <w:rPr>
          <w:rFonts w:ascii="Times New Roman" w:hAnsi="Times New Roman"/>
        </w:rPr>
      </w:pPr>
      <w:r w:rsidRPr="00F03D16">
        <w:rPr>
          <w:rFonts w:ascii="Times New Roman" w:hAnsi="Times New Roman"/>
        </w:rPr>
        <w:t>C</w:t>
      </w:r>
      <w:r w:rsidR="005F062C" w:rsidRPr="00F03D16">
        <w:rPr>
          <w:rFonts w:ascii="Times New Roman" w:hAnsi="Times New Roman"/>
        </w:rPr>
        <w:t xml:space="preserve">ontracting and big scale investment projects implementation, including, </w:t>
      </w:r>
      <w:r w:rsidR="002960AD" w:rsidRPr="00F03D16">
        <w:rPr>
          <w:rFonts w:ascii="Times New Roman" w:hAnsi="Times New Roman"/>
        </w:rPr>
        <w:t>but not limited to</w:t>
      </w:r>
      <w:r w:rsidR="005F062C" w:rsidRPr="00F03D16">
        <w:rPr>
          <w:rFonts w:ascii="Times New Roman" w:hAnsi="Times New Roman"/>
        </w:rPr>
        <w:t>, onshore and offshore drilling and associated works</w:t>
      </w:r>
      <w:r w:rsidR="002828BA" w:rsidRPr="00F03D16">
        <w:rPr>
          <w:rFonts w:ascii="Times New Roman" w:hAnsi="Times New Roman"/>
        </w:rPr>
        <w:t xml:space="preserve"> and services</w:t>
      </w:r>
      <w:r w:rsidR="005F062C" w:rsidRPr="00F03D16">
        <w:rPr>
          <w:rFonts w:ascii="Times New Roman" w:hAnsi="Times New Roman"/>
        </w:rPr>
        <w:t xml:space="preserve"> contracts.</w:t>
      </w:r>
    </w:p>
    <w:p w14:paraId="20BF16B5" w14:textId="31ABC589" w:rsidR="000D2D3B" w:rsidRPr="00F03D16" w:rsidRDefault="002960AD" w:rsidP="00AF12F2">
      <w:pPr>
        <w:pStyle w:val="a5"/>
        <w:numPr>
          <w:ilvl w:val="1"/>
          <w:numId w:val="19"/>
        </w:numPr>
        <w:tabs>
          <w:tab w:val="left" w:pos="810"/>
        </w:tabs>
        <w:ind w:left="0" w:firstLine="360"/>
        <w:jc w:val="both"/>
        <w:rPr>
          <w:rFonts w:ascii="Times New Roman" w:hAnsi="Times New Roman"/>
        </w:rPr>
      </w:pPr>
      <w:r w:rsidRPr="00F03D16">
        <w:rPr>
          <w:rFonts w:ascii="Times New Roman" w:hAnsi="Times New Roman"/>
        </w:rPr>
        <w:t>H</w:t>
      </w:r>
      <w:r w:rsidR="00F37414" w:rsidRPr="00F03D16">
        <w:rPr>
          <w:rFonts w:ascii="Times New Roman" w:hAnsi="Times New Roman"/>
        </w:rPr>
        <w:t>ost government agreements (PSC, licenses, concessions, service contracts etc.), related regulatory matters</w:t>
      </w:r>
      <w:r w:rsidR="000D2D3B" w:rsidRPr="00F03D16">
        <w:rPr>
          <w:rFonts w:ascii="Times New Roman" w:hAnsi="Times New Roman"/>
        </w:rPr>
        <w:t xml:space="preserve">, including filings of all required </w:t>
      </w:r>
      <w:r w:rsidR="00B64F2B" w:rsidRPr="00F03D16">
        <w:rPr>
          <w:rFonts w:ascii="Times New Roman" w:hAnsi="Times New Roman"/>
        </w:rPr>
        <w:t>reports to competent authorities</w:t>
      </w:r>
      <w:r w:rsidR="00F37414" w:rsidRPr="00F03D16">
        <w:rPr>
          <w:rFonts w:ascii="Times New Roman" w:hAnsi="Times New Roman"/>
        </w:rPr>
        <w:t>; bidding for mineral rights, conversion (migration) of host government agreements</w:t>
      </w:r>
      <w:r w:rsidR="002828BA" w:rsidRPr="00F03D16">
        <w:rPr>
          <w:rFonts w:ascii="Times New Roman" w:hAnsi="Times New Roman"/>
        </w:rPr>
        <w:t>; obtaining of all necessary approvals, licenses, permits in the course of oil and gas operations</w:t>
      </w:r>
      <w:r w:rsidR="005111AD" w:rsidRPr="00F03D16">
        <w:rPr>
          <w:rFonts w:ascii="Times New Roman" w:hAnsi="Times New Roman"/>
        </w:rPr>
        <w:t>; cost recovery and procurement.</w:t>
      </w:r>
    </w:p>
    <w:p w14:paraId="5F4516D6" w14:textId="0CCBFF61" w:rsidR="00B64F2B" w:rsidRPr="00F03D16" w:rsidRDefault="005F062C" w:rsidP="00AF12F2">
      <w:pPr>
        <w:pStyle w:val="a5"/>
        <w:numPr>
          <w:ilvl w:val="1"/>
          <w:numId w:val="19"/>
        </w:numPr>
        <w:tabs>
          <w:tab w:val="left" w:pos="810"/>
        </w:tabs>
        <w:ind w:left="0" w:firstLine="360"/>
        <w:jc w:val="both"/>
        <w:rPr>
          <w:rFonts w:ascii="Times New Roman" w:hAnsi="Times New Roman"/>
        </w:rPr>
      </w:pPr>
      <w:r w:rsidRPr="00F03D16">
        <w:rPr>
          <w:rFonts w:ascii="Times New Roman" w:hAnsi="Times New Roman"/>
        </w:rPr>
        <w:t xml:space="preserve">General Corporate matters, including but not limited to, </w:t>
      </w:r>
      <w:r w:rsidR="00CD681B" w:rsidRPr="00F03D16">
        <w:rPr>
          <w:rFonts w:ascii="Times New Roman" w:hAnsi="Times New Roman"/>
        </w:rPr>
        <w:t xml:space="preserve">advice and consulting, </w:t>
      </w:r>
      <w:r w:rsidRPr="00F03D16">
        <w:rPr>
          <w:rFonts w:ascii="Times New Roman" w:hAnsi="Times New Roman"/>
        </w:rPr>
        <w:t xml:space="preserve">corporate governance support in </w:t>
      </w:r>
      <w:r w:rsidR="002828BA" w:rsidRPr="00F03D16">
        <w:rPr>
          <w:rFonts w:ascii="Times New Roman" w:hAnsi="Times New Roman"/>
        </w:rPr>
        <w:t>regarding internal</w:t>
      </w:r>
      <w:r w:rsidRPr="00F03D16">
        <w:rPr>
          <w:rFonts w:ascii="Times New Roman" w:hAnsi="Times New Roman"/>
        </w:rPr>
        <w:t xml:space="preserve"> documents, </w:t>
      </w:r>
      <w:r w:rsidR="00CD681B" w:rsidRPr="00F03D16">
        <w:rPr>
          <w:rFonts w:ascii="Times New Roman" w:hAnsi="Times New Roman"/>
        </w:rPr>
        <w:t xml:space="preserve">powers of attorneys, </w:t>
      </w:r>
      <w:r w:rsidRPr="00F03D16">
        <w:rPr>
          <w:rFonts w:ascii="Times New Roman" w:hAnsi="Times New Roman"/>
        </w:rPr>
        <w:t xml:space="preserve">bylaws, and operating agreements as well as board, manager, or </w:t>
      </w:r>
      <w:r w:rsidR="00CD681B" w:rsidRPr="00F03D16">
        <w:rPr>
          <w:rFonts w:ascii="Times New Roman" w:hAnsi="Times New Roman"/>
        </w:rPr>
        <w:t xml:space="preserve">members´ </w:t>
      </w:r>
      <w:r w:rsidRPr="00F03D16">
        <w:rPr>
          <w:rFonts w:ascii="Times New Roman" w:hAnsi="Times New Roman"/>
        </w:rPr>
        <w:t>resolutions and meeting minute</w:t>
      </w:r>
      <w:r w:rsidR="002828BA" w:rsidRPr="00F03D16">
        <w:rPr>
          <w:rFonts w:ascii="Times New Roman" w:hAnsi="Times New Roman"/>
        </w:rPr>
        <w:t>s</w:t>
      </w:r>
      <w:r w:rsidR="00165271" w:rsidRPr="00F03D16">
        <w:rPr>
          <w:rFonts w:ascii="Times New Roman" w:hAnsi="Times New Roman"/>
        </w:rPr>
        <w:t>, as well as</w:t>
      </w:r>
      <w:r w:rsidR="004A39D2" w:rsidRPr="00F03D16">
        <w:rPr>
          <w:rFonts w:ascii="Times New Roman" w:hAnsi="Times New Roman"/>
        </w:rPr>
        <w:t xml:space="preserve"> </w:t>
      </w:r>
      <w:r w:rsidR="002828BA" w:rsidRPr="00F03D16">
        <w:rPr>
          <w:rFonts w:ascii="Times New Roman" w:hAnsi="Times New Roman"/>
        </w:rPr>
        <w:t>g</w:t>
      </w:r>
      <w:r w:rsidR="00F37414" w:rsidRPr="00F03D16">
        <w:rPr>
          <w:rFonts w:ascii="Times New Roman" w:hAnsi="Times New Roman"/>
        </w:rPr>
        <w:t xml:space="preserve">eneral regulatory </w:t>
      </w:r>
      <w:r w:rsidR="00165271" w:rsidRPr="00F03D16">
        <w:rPr>
          <w:rFonts w:ascii="Times New Roman" w:hAnsi="Times New Roman"/>
        </w:rPr>
        <w:t>matters,</w:t>
      </w:r>
      <w:r w:rsidR="00F37414" w:rsidRPr="00F03D16">
        <w:rPr>
          <w:rFonts w:ascii="Times New Roman" w:hAnsi="Times New Roman"/>
        </w:rPr>
        <w:t xml:space="preserve"> permitting compliance, anti-corruption and sanctions.</w:t>
      </w:r>
    </w:p>
    <w:p w14:paraId="3D449997" w14:textId="77777777" w:rsidR="00165271" w:rsidRPr="00F03D16" w:rsidRDefault="005F062C" w:rsidP="00AF12F2">
      <w:pPr>
        <w:pStyle w:val="a5"/>
        <w:numPr>
          <w:ilvl w:val="1"/>
          <w:numId w:val="19"/>
        </w:numPr>
        <w:tabs>
          <w:tab w:val="left" w:pos="810"/>
        </w:tabs>
        <w:ind w:left="0" w:firstLine="360"/>
        <w:jc w:val="both"/>
        <w:rPr>
          <w:rFonts w:ascii="Times New Roman" w:hAnsi="Times New Roman"/>
        </w:rPr>
      </w:pPr>
      <w:r w:rsidRPr="00F03D16">
        <w:rPr>
          <w:rFonts w:ascii="Times New Roman" w:hAnsi="Times New Roman"/>
        </w:rPr>
        <w:t xml:space="preserve">Contracts advice and guidance including but not limited to review, </w:t>
      </w:r>
      <w:r w:rsidR="00165271" w:rsidRPr="00F03D16">
        <w:rPr>
          <w:rFonts w:ascii="Times New Roman" w:hAnsi="Times New Roman"/>
        </w:rPr>
        <w:t>draft,</w:t>
      </w:r>
      <w:r w:rsidRPr="00F03D16">
        <w:rPr>
          <w:rFonts w:ascii="Times New Roman" w:hAnsi="Times New Roman"/>
        </w:rPr>
        <w:t xml:space="preserve"> </w:t>
      </w:r>
      <w:r w:rsidR="00165271" w:rsidRPr="00F03D16">
        <w:rPr>
          <w:rFonts w:ascii="Times New Roman" w:hAnsi="Times New Roman"/>
        </w:rPr>
        <w:t>and</w:t>
      </w:r>
      <w:r w:rsidRPr="00F03D16">
        <w:rPr>
          <w:rFonts w:ascii="Times New Roman" w:hAnsi="Times New Roman"/>
        </w:rPr>
        <w:t xml:space="preserve"> </w:t>
      </w:r>
      <w:r w:rsidR="00165271" w:rsidRPr="00F03D16">
        <w:rPr>
          <w:rFonts w:ascii="Times New Roman" w:hAnsi="Times New Roman"/>
        </w:rPr>
        <w:t xml:space="preserve">negotiation of </w:t>
      </w:r>
      <w:r w:rsidRPr="00F03D16">
        <w:rPr>
          <w:rFonts w:ascii="Times New Roman" w:hAnsi="Times New Roman"/>
        </w:rPr>
        <w:t>legal agreements.</w:t>
      </w:r>
    </w:p>
    <w:p w14:paraId="03935EF2" w14:textId="42414DD3" w:rsidR="00A12E4B" w:rsidRPr="00F03D16" w:rsidRDefault="005F062C" w:rsidP="00AF12F2">
      <w:pPr>
        <w:pStyle w:val="a5"/>
        <w:numPr>
          <w:ilvl w:val="1"/>
          <w:numId w:val="19"/>
        </w:numPr>
        <w:tabs>
          <w:tab w:val="left" w:pos="810"/>
        </w:tabs>
        <w:ind w:left="0" w:firstLine="360"/>
        <w:jc w:val="both"/>
        <w:rPr>
          <w:rFonts w:ascii="Times New Roman" w:hAnsi="Times New Roman"/>
        </w:rPr>
      </w:pPr>
      <w:r w:rsidRPr="00F03D16">
        <w:rPr>
          <w:rFonts w:ascii="Times New Roman" w:hAnsi="Times New Roman"/>
        </w:rPr>
        <w:t>Corporate tax liability</w:t>
      </w:r>
      <w:r w:rsidR="00AF1361" w:rsidRPr="00F03D16">
        <w:rPr>
          <w:rFonts w:ascii="Times New Roman" w:hAnsi="Times New Roman"/>
        </w:rPr>
        <w:t>, i</w:t>
      </w:r>
      <w:r w:rsidRPr="00F03D16">
        <w:rPr>
          <w:rFonts w:ascii="Times New Roman" w:hAnsi="Times New Roman"/>
        </w:rPr>
        <w:t xml:space="preserve">ncluding compliance with federal and state taxes, income taxes, employment taxes, sales taxes and transactional taxes related to the purchase or sale of a business and tax controversies. </w:t>
      </w:r>
    </w:p>
    <w:p w14:paraId="6244FEAD" w14:textId="77777777" w:rsidR="00AF1361" w:rsidRPr="00F03D16" w:rsidRDefault="00AF1361" w:rsidP="00AF12F2">
      <w:pPr>
        <w:pStyle w:val="a5"/>
        <w:tabs>
          <w:tab w:val="left" w:pos="810"/>
        </w:tabs>
        <w:ind w:left="360"/>
        <w:jc w:val="both"/>
        <w:rPr>
          <w:rFonts w:ascii="Times New Roman" w:hAnsi="Times New Roman"/>
        </w:rPr>
      </w:pPr>
    </w:p>
    <w:p w14:paraId="69015ECE" w14:textId="4EE679DE" w:rsidR="005F062C" w:rsidRPr="00F03D16" w:rsidRDefault="008B5AF5" w:rsidP="00AF12F2">
      <w:pPr>
        <w:pStyle w:val="a5"/>
        <w:tabs>
          <w:tab w:val="left" w:pos="810"/>
        </w:tabs>
        <w:ind w:left="0" w:firstLine="360"/>
        <w:jc w:val="both"/>
        <w:rPr>
          <w:rFonts w:ascii="Times New Roman" w:hAnsi="Times New Roman"/>
        </w:rPr>
      </w:pPr>
      <w:r w:rsidRPr="00F03D16">
        <w:rPr>
          <w:rFonts w:ascii="Times New Roman" w:hAnsi="Times New Roman"/>
        </w:rPr>
        <w:t>Services shall include but not be limited to legal advice, preparation of reports and memoranda, responses to various queries, drafting of contracts or specific clauses thereof.</w:t>
      </w:r>
    </w:p>
    <w:p w14:paraId="66EB9E7F" w14:textId="77777777" w:rsidR="004A39D2" w:rsidRPr="00F03D16" w:rsidRDefault="004A39D2" w:rsidP="00AF12F2">
      <w:pPr>
        <w:jc w:val="both"/>
        <w:rPr>
          <w:rFonts w:ascii="Times New Roman" w:hAnsi="Times New Roman"/>
        </w:rPr>
      </w:pPr>
    </w:p>
    <w:p w14:paraId="5F9313AC" w14:textId="3B59136E" w:rsidR="00A85EC5" w:rsidRPr="00F03D16" w:rsidRDefault="005F062C" w:rsidP="00AF12F2">
      <w:pPr>
        <w:pStyle w:val="a5"/>
        <w:numPr>
          <w:ilvl w:val="0"/>
          <w:numId w:val="19"/>
        </w:numPr>
        <w:jc w:val="both"/>
        <w:rPr>
          <w:rFonts w:ascii="Times New Roman" w:hAnsi="Times New Roman"/>
          <w:b/>
        </w:rPr>
      </w:pPr>
      <w:r w:rsidRPr="00F03D16">
        <w:rPr>
          <w:rFonts w:ascii="Times New Roman" w:hAnsi="Times New Roman"/>
          <w:b/>
        </w:rPr>
        <w:t>Dispute Resolution</w:t>
      </w:r>
      <w:r w:rsidR="00F64ABD" w:rsidRPr="00F03D16">
        <w:rPr>
          <w:rFonts w:ascii="Times New Roman" w:hAnsi="Times New Roman"/>
          <w:b/>
        </w:rPr>
        <w:t>, L</w:t>
      </w:r>
      <w:r w:rsidR="00592E6F" w:rsidRPr="00F03D16">
        <w:rPr>
          <w:rFonts w:ascii="Times New Roman" w:hAnsi="Times New Roman"/>
          <w:b/>
        </w:rPr>
        <w:t>itigation</w:t>
      </w:r>
      <w:r w:rsidR="00D96BB5" w:rsidRPr="00F03D16">
        <w:rPr>
          <w:rFonts w:ascii="Times New Roman" w:hAnsi="Times New Roman"/>
          <w:b/>
        </w:rPr>
        <w:t xml:space="preserve"> and Administrative Procedures</w:t>
      </w:r>
      <w:r w:rsidRPr="00F03D16">
        <w:rPr>
          <w:rFonts w:ascii="Times New Roman" w:hAnsi="Times New Roman"/>
          <w:b/>
        </w:rPr>
        <w:t>:</w:t>
      </w:r>
    </w:p>
    <w:p w14:paraId="5ACA32D7" w14:textId="3B2D4817" w:rsidR="005F062C" w:rsidRPr="00F03D16" w:rsidRDefault="005F062C" w:rsidP="00AF12F2">
      <w:pPr>
        <w:pStyle w:val="a5"/>
        <w:numPr>
          <w:ilvl w:val="1"/>
          <w:numId w:val="19"/>
        </w:numPr>
        <w:tabs>
          <w:tab w:val="left" w:pos="810"/>
        </w:tabs>
        <w:ind w:left="0" w:firstLine="360"/>
        <w:jc w:val="both"/>
        <w:rPr>
          <w:rFonts w:ascii="Times New Roman" w:hAnsi="Times New Roman"/>
          <w:b/>
        </w:rPr>
      </w:pPr>
      <w:r w:rsidRPr="00F03D16">
        <w:rPr>
          <w:rFonts w:ascii="Times New Roman" w:hAnsi="Times New Roman"/>
        </w:rPr>
        <w:t xml:space="preserve">Advice on </w:t>
      </w:r>
      <w:r w:rsidR="001472BB" w:rsidRPr="00F03D16">
        <w:rPr>
          <w:rFonts w:ascii="Times New Roman" w:hAnsi="Times New Roman"/>
        </w:rPr>
        <w:t>claim</w:t>
      </w:r>
      <w:r w:rsidR="00193995" w:rsidRPr="00F03D16">
        <w:rPr>
          <w:rFonts w:ascii="Times New Roman" w:hAnsi="Times New Roman"/>
        </w:rPr>
        <w:t>s</w:t>
      </w:r>
      <w:r w:rsidR="001472BB" w:rsidRPr="00F03D16">
        <w:rPr>
          <w:rFonts w:ascii="Times New Roman" w:hAnsi="Times New Roman"/>
        </w:rPr>
        <w:t xml:space="preserve">, disputes, </w:t>
      </w:r>
      <w:r w:rsidR="00297FDC" w:rsidRPr="00F03D16">
        <w:rPr>
          <w:rFonts w:ascii="Times New Roman" w:hAnsi="Times New Roman"/>
        </w:rPr>
        <w:t>settlement</w:t>
      </w:r>
      <w:r w:rsidR="00271AD4" w:rsidRPr="00F03D16">
        <w:rPr>
          <w:rFonts w:ascii="Times New Roman" w:hAnsi="Times New Roman"/>
        </w:rPr>
        <w:t xml:space="preserve">, </w:t>
      </w:r>
      <w:r w:rsidR="00AD3923" w:rsidRPr="00F03D16">
        <w:rPr>
          <w:rFonts w:ascii="Times New Roman" w:hAnsi="Times New Roman"/>
        </w:rPr>
        <w:t xml:space="preserve">negotiations, </w:t>
      </w:r>
      <w:r w:rsidR="00592E6F" w:rsidRPr="00F03D16">
        <w:rPr>
          <w:rFonts w:ascii="Times New Roman" w:hAnsi="Times New Roman"/>
        </w:rPr>
        <w:t xml:space="preserve">international commercial </w:t>
      </w:r>
      <w:r w:rsidR="00076AB4" w:rsidRPr="00F03D16">
        <w:rPr>
          <w:rFonts w:ascii="Times New Roman" w:hAnsi="Times New Roman"/>
        </w:rPr>
        <w:t>arbitration,</w:t>
      </w:r>
      <w:r w:rsidRPr="00F03D16">
        <w:rPr>
          <w:rFonts w:ascii="Times New Roman" w:hAnsi="Times New Roman"/>
        </w:rPr>
        <w:t xml:space="preserve"> </w:t>
      </w:r>
      <w:r w:rsidR="00592E6F" w:rsidRPr="00F03D16">
        <w:rPr>
          <w:rFonts w:ascii="Times New Roman" w:hAnsi="Times New Roman"/>
        </w:rPr>
        <w:t>or</w:t>
      </w:r>
      <w:r w:rsidRPr="00F03D16">
        <w:rPr>
          <w:rFonts w:ascii="Times New Roman" w:hAnsi="Times New Roman"/>
        </w:rPr>
        <w:t xml:space="preserve"> courts proceedings</w:t>
      </w:r>
      <w:r w:rsidR="00271AD4" w:rsidRPr="00F03D16">
        <w:rPr>
          <w:rFonts w:ascii="Times New Roman" w:hAnsi="Times New Roman"/>
        </w:rPr>
        <w:t xml:space="preserve">, </w:t>
      </w:r>
      <w:r w:rsidR="00AD3923" w:rsidRPr="00F03D16">
        <w:rPr>
          <w:rFonts w:ascii="Times New Roman" w:hAnsi="Times New Roman"/>
        </w:rPr>
        <w:t xml:space="preserve">including enforcement </w:t>
      </w:r>
      <w:r w:rsidRPr="00F03D16">
        <w:rPr>
          <w:rFonts w:ascii="Times New Roman" w:hAnsi="Times New Roman"/>
        </w:rPr>
        <w:t>of arbitra</w:t>
      </w:r>
      <w:r w:rsidR="001E33ED" w:rsidRPr="00F03D16">
        <w:rPr>
          <w:rFonts w:ascii="Times New Roman" w:hAnsi="Times New Roman"/>
        </w:rPr>
        <w:t>l</w:t>
      </w:r>
      <w:r w:rsidRPr="00F03D16">
        <w:rPr>
          <w:rFonts w:ascii="Times New Roman" w:hAnsi="Times New Roman"/>
        </w:rPr>
        <w:t xml:space="preserve"> awards</w:t>
      </w:r>
      <w:r w:rsidR="00AD3923" w:rsidRPr="00F03D16">
        <w:rPr>
          <w:rFonts w:ascii="Times New Roman" w:hAnsi="Times New Roman"/>
        </w:rPr>
        <w:t xml:space="preserve"> and court </w:t>
      </w:r>
      <w:r w:rsidR="00B241F2" w:rsidRPr="00F03D16">
        <w:rPr>
          <w:rFonts w:ascii="Times New Roman" w:hAnsi="Times New Roman"/>
        </w:rPr>
        <w:t>decisions</w:t>
      </w:r>
      <w:r w:rsidR="00193995" w:rsidRPr="00F03D16">
        <w:rPr>
          <w:rFonts w:ascii="Times New Roman" w:hAnsi="Times New Roman"/>
        </w:rPr>
        <w:t>.</w:t>
      </w:r>
    </w:p>
    <w:p w14:paraId="71F43140" w14:textId="71298A72" w:rsidR="00592E6F" w:rsidRPr="00F03D16" w:rsidRDefault="005F062C" w:rsidP="00AF12F2">
      <w:pPr>
        <w:pStyle w:val="a5"/>
        <w:numPr>
          <w:ilvl w:val="1"/>
          <w:numId w:val="19"/>
        </w:numPr>
        <w:tabs>
          <w:tab w:val="left" w:pos="810"/>
        </w:tabs>
        <w:ind w:left="0" w:firstLine="360"/>
        <w:jc w:val="both"/>
        <w:rPr>
          <w:rFonts w:ascii="Times New Roman" w:hAnsi="Times New Roman"/>
        </w:rPr>
      </w:pPr>
      <w:r w:rsidRPr="00F03D16">
        <w:rPr>
          <w:rFonts w:ascii="Times New Roman" w:hAnsi="Times New Roman"/>
        </w:rPr>
        <w:t>Representation of the Company and its affiliated project companies in arbitral and court proceedings related to any matter</w:t>
      </w:r>
      <w:r w:rsidR="00D64B2D" w:rsidRPr="00F03D16">
        <w:rPr>
          <w:rFonts w:ascii="Times New Roman" w:hAnsi="Times New Roman"/>
        </w:rPr>
        <w:t xml:space="preserve"> regarding both claims of the Company or against the Company.</w:t>
      </w:r>
    </w:p>
    <w:p w14:paraId="36703FDA" w14:textId="77777777" w:rsidR="00F64ABD" w:rsidRPr="00F03D16" w:rsidRDefault="005F062C" w:rsidP="00AF12F2">
      <w:pPr>
        <w:pStyle w:val="a5"/>
        <w:numPr>
          <w:ilvl w:val="1"/>
          <w:numId w:val="19"/>
        </w:numPr>
        <w:tabs>
          <w:tab w:val="left" w:pos="810"/>
        </w:tabs>
        <w:ind w:left="0" w:firstLine="360"/>
        <w:jc w:val="both"/>
        <w:rPr>
          <w:rFonts w:ascii="Times New Roman" w:hAnsi="Times New Roman"/>
        </w:rPr>
      </w:pPr>
      <w:r w:rsidRPr="00F03D16">
        <w:rPr>
          <w:rFonts w:ascii="Times New Roman" w:hAnsi="Times New Roman"/>
        </w:rPr>
        <w:t xml:space="preserve">Advice and representation of the Company and its affiliated companies in administrative, </w:t>
      </w:r>
      <w:r w:rsidR="00F64ABD" w:rsidRPr="00F03D16">
        <w:rPr>
          <w:rFonts w:ascii="Times New Roman" w:hAnsi="Times New Roman"/>
        </w:rPr>
        <w:t>civil, labor,</w:t>
      </w:r>
      <w:r w:rsidRPr="00F03D16">
        <w:rPr>
          <w:rFonts w:ascii="Times New Roman" w:hAnsi="Times New Roman"/>
        </w:rPr>
        <w:t xml:space="preserve"> and other </w:t>
      </w:r>
      <w:r w:rsidR="008B5AF5" w:rsidRPr="00F03D16">
        <w:rPr>
          <w:rFonts w:ascii="Times New Roman" w:hAnsi="Times New Roman"/>
        </w:rPr>
        <w:t xml:space="preserve">legal matters before </w:t>
      </w:r>
      <w:r w:rsidRPr="00F03D16">
        <w:rPr>
          <w:rFonts w:ascii="Times New Roman" w:hAnsi="Times New Roman"/>
        </w:rPr>
        <w:t>court</w:t>
      </w:r>
      <w:r w:rsidR="00F64ABD" w:rsidRPr="00F03D16">
        <w:rPr>
          <w:rFonts w:ascii="Times New Roman" w:hAnsi="Times New Roman"/>
        </w:rPr>
        <w:t>s</w:t>
      </w:r>
      <w:r w:rsidRPr="00F03D16">
        <w:rPr>
          <w:rFonts w:ascii="Times New Roman" w:hAnsi="Times New Roman"/>
        </w:rPr>
        <w:t xml:space="preserve"> </w:t>
      </w:r>
      <w:r w:rsidR="002D0719" w:rsidRPr="00F03D16">
        <w:rPr>
          <w:rFonts w:ascii="Times New Roman" w:hAnsi="Times New Roman"/>
        </w:rPr>
        <w:t xml:space="preserve">and authorities </w:t>
      </w:r>
      <w:r w:rsidRPr="00F03D16">
        <w:rPr>
          <w:rFonts w:ascii="Times New Roman" w:hAnsi="Times New Roman"/>
        </w:rPr>
        <w:t>in Mexico.</w:t>
      </w:r>
    </w:p>
    <w:p w14:paraId="4162DBD3" w14:textId="0E3B01BC" w:rsidR="005F062C" w:rsidRPr="00F03D16" w:rsidRDefault="005F062C" w:rsidP="00AF12F2">
      <w:pPr>
        <w:pStyle w:val="a5"/>
        <w:numPr>
          <w:ilvl w:val="1"/>
          <w:numId w:val="19"/>
        </w:numPr>
        <w:tabs>
          <w:tab w:val="left" w:pos="810"/>
        </w:tabs>
        <w:ind w:left="0" w:firstLine="360"/>
        <w:jc w:val="both"/>
        <w:rPr>
          <w:rFonts w:ascii="Times New Roman" w:hAnsi="Times New Roman"/>
        </w:rPr>
      </w:pPr>
      <w:r w:rsidRPr="00F03D16">
        <w:rPr>
          <w:rFonts w:ascii="Times New Roman" w:hAnsi="Times New Roman"/>
        </w:rPr>
        <w:t xml:space="preserve">Representation of the Company and its affiliated companies </w:t>
      </w:r>
      <w:r w:rsidR="00F64ABD" w:rsidRPr="00F03D16">
        <w:rPr>
          <w:rFonts w:ascii="Times New Roman" w:hAnsi="Times New Roman"/>
        </w:rPr>
        <w:t>before</w:t>
      </w:r>
      <w:r w:rsidRPr="00F03D16">
        <w:rPr>
          <w:rFonts w:ascii="Times New Roman" w:hAnsi="Times New Roman"/>
        </w:rPr>
        <w:t xml:space="preserve"> governmental agencies in Mexico.</w:t>
      </w:r>
    </w:p>
    <w:p w14:paraId="685BCB3C" w14:textId="77777777" w:rsidR="00BD0CC0" w:rsidRPr="00F03D16" w:rsidRDefault="00BD0CC0" w:rsidP="00AF12F2">
      <w:pPr>
        <w:jc w:val="both"/>
        <w:rPr>
          <w:rFonts w:ascii="Times New Roman" w:hAnsi="Times New Roman"/>
          <w:b/>
        </w:rPr>
      </w:pPr>
    </w:p>
    <w:p w14:paraId="052F299E" w14:textId="77777777" w:rsidR="00D96BB5" w:rsidRPr="00F03D16" w:rsidRDefault="00D96BB5" w:rsidP="00AF12F2">
      <w:pPr>
        <w:pStyle w:val="a5"/>
        <w:numPr>
          <w:ilvl w:val="0"/>
          <w:numId w:val="19"/>
        </w:numPr>
        <w:jc w:val="both"/>
        <w:rPr>
          <w:rFonts w:ascii="Times New Roman" w:hAnsi="Times New Roman"/>
          <w:b/>
        </w:rPr>
      </w:pPr>
      <w:r w:rsidRPr="00F03D16">
        <w:rPr>
          <w:rFonts w:ascii="Times New Roman" w:hAnsi="Times New Roman"/>
          <w:b/>
        </w:rPr>
        <w:t>Additional services,</w:t>
      </w:r>
      <w:r w:rsidR="005F062C" w:rsidRPr="00F03D16">
        <w:rPr>
          <w:rFonts w:ascii="Times New Roman" w:hAnsi="Times New Roman"/>
          <w:b/>
        </w:rPr>
        <w:t xml:space="preserve"> including but not limited to:</w:t>
      </w:r>
    </w:p>
    <w:p w14:paraId="642FE3EF" w14:textId="77777777" w:rsidR="00D96BB5" w:rsidRPr="00F03D16" w:rsidRDefault="005F062C" w:rsidP="00AF12F2">
      <w:pPr>
        <w:pStyle w:val="a5"/>
        <w:numPr>
          <w:ilvl w:val="1"/>
          <w:numId w:val="19"/>
        </w:numPr>
        <w:tabs>
          <w:tab w:val="left" w:pos="810"/>
        </w:tabs>
        <w:ind w:left="0" w:firstLine="360"/>
        <w:jc w:val="both"/>
        <w:rPr>
          <w:rFonts w:ascii="Times New Roman" w:hAnsi="Times New Roman"/>
          <w:b/>
        </w:rPr>
      </w:pPr>
      <w:r w:rsidRPr="00F03D16">
        <w:rPr>
          <w:rFonts w:ascii="Times New Roman" w:hAnsi="Times New Roman"/>
        </w:rPr>
        <w:t>A quarterly training session/seminar on a topic to be agreed with</w:t>
      </w:r>
      <w:r w:rsidR="00D96BB5" w:rsidRPr="00F03D16">
        <w:rPr>
          <w:rFonts w:ascii="Times New Roman" w:hAnsi="Times New Roman"/>
        </w:rPr>
        <w:t xml:space="preserve"> the</w:t>
      </w:r>
      <w:r w:rsidRPr="00F03D16">
        <w:rPr>
          <w:rFonts w:ascii="Times New Roman" w:hAnsi="Times New Roman"/>
        </w:rPr>
        <w:t xml:space="preserve"> Company</w:t>
      </w:r>
      <w:r w:rsidR="00D96BB5" w:rsidRPr="00F03D16">
        <w:rPr>
          <w:rFonts w:ascii="Times New Roman" w:hAnsi="Times New Roman"/>
        </w:rPr>
        <w:t>.</w:t>
      </w:r>
    </w:p>
    <w:p w14:paraId="542389B0" w14:textId="77777777" w:rsidR="00D96BB5" w:rsidRPr="00F03D16" w:rsidRDefault="005F062C" w:rsidP="00AF12F2">
      <w:pPr>
        <w:pStyle w:val="a5"/>
        <w:numPr>
          <w:ilvl w:val="1"/>
          <w:numId w:val="19"/>
        </w:numPr>
        <w:tabs>
          <w:tab w:val="left" w:pos="810"/>
        </w:tabs>
        <w:ind w:left="0" w:firstLine="360"/>
        <w:jc w:val="both"/>
        <w:rPr>
          <w:rFonts w:ascii="Times New Roman" w:hAnsi="Times New Roman"/>
          <w:b/>
        </w:rPr>
      </w:pPr>
      <w:r w:rsidRPr="00F03D16">
        <w:rPr>
          <w:rFonts w:ascii="Times New Roman" w:hAnsi="Times New Roman"/>
        </w:rPr>
        <w:t>Legal updates/client alerts on</w:t>
      </w:r>
      <w:r w:rsidR="00D96BB5" w:rsidRPr="00F03D16">
        <w:rPr>
          <w:rFonts w:ascii="Times New Roman" w:hAnsi="Times New Roman"/>
        </w:rPr>
        <w:t xml:space="preserve"> major legal</w:t>
      </w:r>
      <w:r w:rsidRPr="00F03D16">
        <w:rPr>
          <w:rFonts w:ascii="Times New Roman" w:hAnsi="Times New Roman"/>
        </w:rPr>
        <w:t xml:space="preserve"> topics relevant to the Company’s business</w:t>
      </w:r>
      <w:r w:rsidR="00D96BB5" w:rsidRPr="00F03D16">
        <w:rPr>
          <w:rFonts w:ascii="Times New Roman" w:hAnsi="Times New Roman"/>
        </w:rPr>
        <w:t>.</w:t>
      </w:r>
    </w:p>
    <w:p w14:paraId="528020F4" w14:textId="77777777" w:rsidR="00D96BB5" w:rsidRPr="00F03D16" w:rsidRDefault="005F062C" w:rsidP="00AF12F2">
      <w:pPr>
        <w:pStyle w:val="a5"/>
        <w:numPr>
          <w:ilvl w:val="1"/>
          <w:numId w:val="19"/>
        </w:numPr>
        <w:tabs>
          <w:tab w:val="left" w:pos="810"/>
        </w:tabs>
        <w:ind w:left="0" w:firstLine="360"/>
        <w:jc w:val="both"/>
        <w:rPr>
          <w:rFonts w:ascii="Times New Roman" w:hAnsi="Times New Roman"/>
          <w:b/>
        </w:rPr>
      </w:pPr>
      <w:r w:rsidRPr="00F03D16">
        <w:rPr>
          <w:rFonts w:ascii="Times New Roman" w:hAnsi="Times New Roman"/>
        </w:rPr>
        <w:t>Access to Contractor’s legal resources (e.g. Lexis Nexis, Westlaw, Lexgulf, Practical Law Company, etc) upon reasonable request;</w:t>
      </w:r>
    </w:p>
    <w:p w14:paraId="65825099" w14:textId="77777777" w:rsidR="00D31AE2" w:rsidRPr="00F03D16" w:rsidRDefault="00D96BB5" w:rsidP="00AF12F2">
      <w:pPr>
        <w:pStyle w:val="a5"/>
        <w:numPr>
          <w:ilvl w:val="1"/>
          <w:numId w:val="19"/>
        </w:numPr>
        <w:tabs>
          <w:tab w:val="left" w:pos="810"/>
        </w:tabs>
        <w:ind w:left="0" w:firstLine="360"/>
        <w:jc w:val="both"/>
        <w:rPr>
          <w:rFonts w:ascii="Times New Roman" w:hAnsi="Times New Roman"/>
          <w:b/>
        </w:rPr>
      </w:pPr>
      <w:r w:rsidRPr="00F03D16">
        <w:rPr>
          <w:rFonts w:ascii="Times New Roman" w:hAnsi="Times New Roman"/>
        </w:rPr>
        <w:t>Provision of</w:t>
      </w:r>
      <w:r w:rsidR="005F062C" w:rsidRPr="00F03D16">
        <w:rPr>
          <w:rFonts w:ascii="Times New Roman" w:hAnsi="Times New Roman"/>
        </w:rPr>
        <w:t xml:space="preserve"> recurring trainee secondments</w:t>
      </w:r>
      <w:r w:rsidRPr="00F03D16">
        <w:rPr>
          <w:rFonts w:ascii="Times New Roman" w:hAnsi="Times New Roman"/>
        </w:rPr>
        <w:t xml:space="preserve"> </w:t>
      </w:r>
      <w:r w:rsidR="00D31AE2" w:rsidRPr="00F03D16">
        <w:rPr>
          <w:rFonts w:ascii="Times New Roman" w:hAnsi="Times New Roman"/>
        </w:rPr>
        <w:t>per Company’s requests</w:t>
      </w:r>
      <w:r w:rsidR="005F062C" w:rsidRPr="00F03D16">
        <w:rPr>
          <w:rFonts w:ascii="Times New Roman" w:hAnsi="Times New Roman"/>
        </w:rPr>
        <w:t>.</w:t>
      </w:r>
    </w:p>
    <w:p w14:paraId="6EB3BF77" w14:textId="77777777" w:rsidR="00B91437" w:rsidRPr="00F03D16" w:rsidRDefault="00541B84" w:rsidP="00AF12F2">
      <w:pPr>
        <w:pStyle w:val="a5"/>
        <w:numPr>
          <w:ilvl w:val="1"/>
          <w:numId w:val="19"/>
        </w:numPr>
        <w:tabs>
          <w:tab w:val="left" w:pos="810"/>
        </w:tabs>
        <w:ind w:left="0" w:firstLine="360"/>
        <w:jc w:val="both"/>
        <w:rPr>
          <w:rFonts w:ascii="Times New Roman" w:hAnsi="Times New Roman"/>
          <w:b/>
        </w:rPr>
      </w:pPr>
      <w:r w:rsidRPr="00F03D16">
        <w:rPr>
          <w:rFonts w:ascii="Times New Roman" w:hAnsi="Times New Roman"/>
        </w:rPr>
        <w:lastRenderedPageBreak/>
        <w:t xml:space="preserve">Qualified lawyer secondment to the Company, if the </w:t>
      </w:r>
      <w:r w:rsidR="005F062C" w:rsidRPr="00F03D16">
        <w:rPr>
          <w:rFonts w:ascii="Times New Roman" w:hAnsi="Times New Roman"/>
        </w:rPr>
        <w:t>Company</w:t>
      </w:r>
      <w:r w:rsidRPr="00F03D16">
        <w:rPr>
          <w:rFonts w:ascii="Times New Roman" w:hAnsi="Times New Roman"/>
        </w:rPr>
        <w:t xml:space="preserve"> so</w:t>
      </w:r>
      <w:r w:rsidR="005F062C" w:rsidRPr="00F03D16">
        <w:rPr>
          <w:rFonts w:ascii="Times New Roman" w:hAnsi="Times New Roman"/>
        </w:rPr>
        <w:t xml:space="preserve"> requires for a specific project and/or a period of cover (e.g. maternity/illness</w:t>
      </w:r>
      <w:r w:rsidRPr="00F03D16">
        <w:rPr>
          <w:rFonts w:ascii="Times New Roman" w:hAnsi="Times New Roman"/>
        </w:rPr>
        <w:t>)</w:t>
      </w:r>
      <w:r w:rsidR="005F062C" w:rsidRPr="00F03D16">
        <w:rPr>
          <w:rFonts w:ascii="Times New Roman" w:hAnsi="Times New Roman"/>
        </w:rPr>
        <w:t xml:space="preserve">. Each Contractor is requested to provide fixed and firm monthly rates for lawyers at a level of 1-4 years PQE. Upon request, Company may procure a secondment based on such rates </w:t>
      </w:r>
      <w:r w:rsidR="00B91437" w:rsidRPr="00F03D16">
        <w:rPr>
          <w:rFonts w:ascii="Times New Roman" w:hAnsi="Times New Roman"/>
        </w:rPr>
        <w:t>after</w:t>
      </w:r>
      <w:r w:rsidR="005F062C" w:rsidRPr="00F03D16">
        <w:rPr>
          <w:rFonts w:ascii="Times New Roman" w:hAnsi="Times New Roman"/>
        </w:rPr>
        <w:t xml:space="preserve"> prior discussion with the Contractor.</w:t>
      </w:r>
    </w:p>
    <w:p w14:paraId="350B34C3" w14:textId="0178C3AB" w:rsidR="00F37414" w:rsidRPr="00F03D16" w:rsidRDefault="005F062C" w:rsidP="00AF12F2">
      <w:pPr>
        <w:pStyle w:val="a5"/>
        <w:numPr>
          <w:ilvl w:val="1"/>
          <w:numId w:val="19"/>
        </w:numPr>
        <w:tabs>
          <w:tab w:val="left" w:pos="810"/>
        </w:tabs>
        <w:ind w:left="0" w:firstLine="360"/>
        <w:jc w:val="both"/>
        <w:rPr>
          <w:rFonts w:ascii="Times New Roman" w:hAnsi="Times New Roman"/>
          <w:b/>
        </w:rPr>
      </w:pPr>
      <w:r w:rsidRPr="00F03D16">
        <w:rPr>
          <w:rFonts w:ascii="Times New Roman" w:hAnsi="Times New Roman"/>
        </w:rPr>
        <w:t xml:space="preserve">Contractor may provide any other </w:t>
      </w:r>
      <w:r w:rsidR="00B91437" w:rsidRPr="00F03D16">
        <w:rPr>
          <w:rFonts w:ascii="Times New Roman" w:hAnsi="Times New Roman"/>
        </w:rPr>
        <w:t xml:space="preserve">additional </w:t>
      </w:r>
      <w:r w:rsidRPr="00F03D16">
        <w:rPr>
          <w:rFonts w:ascii="Times New Roman" w:hAnsi="Times New Roman"/>
        </w:rPr>
        <w:t xml:space="preserve">services </w:t>
      </w:r>
      <w:r w:rsidR="00B91437" w:rsidRPr="00F03D16">
        <w:rPr>
          <w:rFonts w:ascii="Times New Roman" w:hAnsi="Times New Roman"/>
        </w:rPr>
        <w:t xml:space="preserve">as </w:t>
      </w:r>
      <w:r w:rsidR="00AF12F2" w:rsidRPr="00F03D16">
        <w:rPr>
          <w:rFonts w:ascii="Times New Roman" w:hAnsi="Times New Roman"/>
        </w:rPr>
        <w:t>agreed with the Company</w:t>
      </w:r>
      <w:r w:rsidRPr="00F03D16">
        <w:rPr>
          <w:rFonts w:ascii="Times New Roman" w:hAnsi="Times New Roman"/>
        </w:rPr>
        <w:t>.</w:t>
      </w:r>
    </w:p>
    <w:p w14:paraId="0A80C36B" w14:textId="77777777" w:rsidR="00F37414" w:rsidRPr="00F03D16" w:rsidRDefault="00F37414" w:rsidP="00AF12F2">
      <w:pPr>
        <w:jc w:val="both"/>
        <w:rPr>
          <w:rFonts w:ascii="Times New Roman" w:hAnsi="Times New Roman"/>
          <w:color w:val="FF0000"/>
        </w:rPr>
      </w:pPr>
    </w:p>
    <w:p w14:paraId="439D9EED" w14:textId="1F8DD539" w:rsidR="00F37414" w:rsidRPr="00F03D16" w:rsidRDefault="00F37414" w:rsidP="00AF12F2">
      <w:pPr>
        <w:ind w:left="360"/>
        <w:jc w:val="both"/>
        <w:rPr>
          <w:rFonts w:ascii="Times New Roman" w:hAnsi="Times New Roman"/>
          <w:b/>
        </w:rPr>
      </w:pPr>
      <w:r w:rsidRPr="00F03D16">
        <w:rPr>
          <w:rFonts w:ascii="Times New Roman" w:hAnsi="Times New Roman"/>
          <w:b/>
        </w:rPr>
        <w:t>LOT 2</w:t>
      </w:r>
    </w:p>
    <w:p w14:paraId="1F39A0D5" w14:textId="77777777" w:rsidR="001306B6" w:rsidRPr="00F03D16" w:rsidRDefault="001306B6" w:rsidP="00AF12F2">
      <w:pPr>
        <w:jc w:val="both"/>
        <w:rPr>
          <w:rFonts w:ascii="Times New Roman" w:hAnsi="Times New Roman"/>
          <w:b/>
        </w:rPr>
      </w:pPr>
    </w:p>
    <w:p w14:paraId="10E6CEBB" w14:textId="4ED2A917" w:rsidR="00F37414" w:rsidRPr="00F03D16" w:rsidRDefault="00F37414" w:rsidP="00AF12F2">
      <w:pPr>
        <w:pStyle w:val="a5"/>
        <w:numPr>
          <w:ilvl w:val="0"/>
          <w:numId w:val="9"/>
        </w:numPr>
        <w:jc w:val="both"/>
        <w:rPr>
          <w:rFonts w:ascii="Times New Roman" w:hAnsi="Times New Roman"/>
          <w:b/>
        </w:rPr>
      </w:pPr>
      <w:r w:rsidRPr="00F03D16">
        <w:rPr>
          <w:rFonts w:ascii="Times New Roman" w:hAnsi="Times New Roman"/>
          <w:b/>
        </w:rPr>
        <w:t>Advisory services and legal representation in the following practice areas:</w:t>
      </w:r>
    </w:p>
    <w:p w14:paraId="64C710F8" w14:textId="36251D8F" w:rsidR="00D64B2D" w:rsidRPr="00F03D16" w:rsidRDefault="00223729" w:rsidP="00D64B2D">
      <w:pPr>
        <w:pStyle w:val="a5"/>
        <w:numPr>
          <w:ilvl w:val="1"/>
          <w:numId w:val="9"/>
        </w:numPr>
        <w:ind w:left="810" w:hanging="450"/>
        <w:jc w:val="both"/>
        <w:rPr>
          <w:rFonts w:ascii="Times New Roman" w:hAnsi="Times New Roman"/>
        </w:rPr>
      </w:pPr>
      <w:r w:rsidRPr="00F03D16">
        <w:rPr>
          <w:rFonts w:ascii="Times New Roman" w:hAnsi="Times New Roman"/>
        </w:rPr>
        <w:t>Full range support regarding e</w:t>
      </w:r>
      <w:r w:rsidR="00F37414" w:rsidRPr="00F03D16">
        <w:rPr>
          <w:rFonts w:ascii="Times New Roman" w:hAnsi="Times New Roman"/>
        </w:rPr>
        <w:t>mployment and labor law</w:t>
      </w:r>
      <w:r w:rsidRPr="00F03D16">
        <w:rPr>
          <w:rFonts w:ascii="Times New Roman" w:hAnsi="Times New Roman"/>
        </w:rPr>
        <w:t xml:space="preserve"> in</w:t>
      </w:r>
      <w:r w:rsidR="00F37414" w:rsidRPr="00F03D16">
        <w:rPr>
          <w:rFonts w:ascii="Times New Roman" w:hAnsi="Times New Roman"/>
        </w:rPr>
        <w:t xml:space="preserve"> Mexico</w:t>
      </w:r>
      <w:r w:rsidRPr="00F03D16">
        <w:rPr>
          <w:rFonts w:ascii="Times New Roman" w:hAnsi="Times New Roman"/>
        </w:rPr>
        <w:t>.</w:t>
      </w:r>
    </w:p>
    <w:p w14:paraId="1010F353" w14:textId="77777777" w:rsidR="00E70B0D" w:rsidRPr="00F03D16" w:rsidRDefault="00E70B0D" w:rsidP="00E70B0D">
      <w:pPr>
        <w:pStyle w:val="a5"/>
        <w:numPr>
          <w:ilvl w:val="1"/>
          <w:numId w:val="9"/>
        </w:numPr>
        <w:ind w:left="810" w:hanging="450"/>
        <w:jc w:val="both"/>
        <w:rPr>
          <w:rFonts w:ascii="Times New Roman" w:hAnsi="Times New Roman"/>
        </w:rPr>
      </w:pPr>
      <w:r w:rsidRPr="00F03D16">
        <w:rPr>
          <w:rFonts w:ascii="Times New Roman" w:hAnsi="Times New Roman"/>
        </w:rPr>
        <w:t>Representation of the Company in Mexican government agencies.</w:t>
      </w:r>
    </w:p>
    <w:p w14:paraId="0032E4D4" w14:textId="77777777" w:rsidR="00E70B0D" w:rsidRPr="00F03D16" w:rsidRDefault="00E70B0D" w:rsidP="00155455">
      <w:pPr>
        <w:pStyle w:val="a5"/>
        <w:numPr>
          <w:ilvl w:val="1"/>
          <w:numId w:val="9"/>
        </w:numPr>
        <w:tabs>
          <w:tab w:val="left" w:pos="810"/>
        </w:tabs>
        <w:ind w:left="0" w:firstLine="360"/>
        <w:jc w:val="both"/>
        <w:rPr>
          <w:rFonts w:ascii="Times New Roman" w:hAnsi="Times New Roman"/>
        </w:rPr>
      </w:pPr>
      <w:r w:rsidRPr="00F03D16">
        <w:rPr>
          <w:rFonts w:ascii="Times New Roman" w:hAnsi="Times New Roman"/>
        </w:rPr>
        <w:t xml:space="preserve">Drafting, negotiating, registering and renewing collective agreements and internal labor regulations and policies. </w:t>
      </w:r>
    </w:p>
    <w:p w14:paraId="2613FC39" w14:textId="5901FDBD" w:rsidR="00E70B0D" w:rsidRPr="00F03D16" w:rsidRDefault="00E70B0D" w:rsidP="00155455">
      <w:pPr>
        <w:pStyle w:val="a5"/>
        <w:numPr>
          <w:ilvl w:val="1"/>
          <w:numId w:val="9"/>
        </w:numPr>
        <w:tabs>
          <w:tab w:val="left" w:pos="810"/>
        </w:tabs>
        <w:ind w:left="0" w:firstLine="360"/>
        <w:jc w:val="both"/>
        <w:rPr>
          <w:rFonts w:ascii="Times New Roman" w:hAnsi="Times New Roman"/>
        </w:rPr>
      </w:pPr>
      <w:r w:rsidRPr="00F03D16">
        <w:rPr>
          <w:rFonts w:ascii="Times New Roman" w:hAnsi="Times New Roman"/>
        </w:rPr>
        <w:t>Advice and representation of the Company in courts proceedings in Mexico, related to claims of the Company or to against the Company, or enforcement of courts decisions and arbitration awards, etc.</w:t>
      </w:r>
    </w:p>
    <w:p w14:paraId="7313E506" w14:textId="77777777" w:rsidR="00D64B2D" w:rsidRPr="00F03D16" w:rsidRDefault="00D64B2D" w:rsidP="00D64B2D">
      <w:pPr>
        <w:pStyle w:val="a5"/>
        <w:ind w:left="810"/>
        <w:jc w:val="both"/>
        <w:rPr>
          <w:rFonts w:ascii="Times New Roman" w:hAnsi="Times New Roman"/>
        </w:rPr>
      </w:pPr>
    </w:p>
    <w:p w14:paraId="29E0A113" w14:textId="77777777" w:rsidR="00155455" w:rsidRPr="00F03D16" w:rsidRDefault="00155455" w:rsidP="00155455">
      <w:pPr>
        <w:pStyle w:val="a5"/>
        <w:tabs>
          <w:tab w:val="left" w:pos="810"/>
        </w:tabs>
        <w:ind w:left="0" w:firstLine="360"/>
        <w:jc w:val="both"/>
        <w:rPr>
          <w:rFonts w:ascii="Times New Roman" w:hAnsi="Times New Roman"/>
        </w:rPr>
      </w:pPr>
      <w:r w:rsidRPr="00F03D16">
        <w:rPr>
          <w:rFonts w:ascii="Times New Roman" w:hAnsi="Times New Roman"/>
        </w:rPr>
        <w:t>Services shall include but not be limited to legal advice, preparation of reports and memoranda, responses to various queries, drafting of contracts or specific clauses thereof.</w:t>
      </w:r>
    </w:p>
    <w:p w14:paraId="0BF0BB15" w14:textId="1654C4F6" w:rsidR="00F37414" w:rsidRPr="00F03D16" w:rsidRDefault="00F37414" w:rsidP="00AF12F2">
      <w:pPr>
        <w:ind w:left="360"/>
        <w:jc w:val="both"/>
        <w:rPr>
          <w:rFonts w:ascii="Times New Roman" w:hAnsi="Times New Roman"/>
        </w:rPr>
      </w:pPr>
    </w:p>
    <w:p w14:paraId="09B00BE0" w14:textId="6577E554" w:rsidR="00393F65" w:rsidRPr="00F03D16" w:rsidRDefault="00F37414" w:rsidP="00393F65">
      <w:pPr>
        <w:ind w:left="360"/>
        <w:jc w:val="both"/>
        <w:rPr>
          <w:rFonts w:ascii="Times New Roman" w:hAnsi="Times New Roman"/>
          <w:b/>
        </w:rPr>
      </w:pPr>
      <w:r w:rsidRPr="00F03D16">
        <w:rPr>
          <w:rFonts w:ascii="Times New Roman" w:hAnsi="Times New Roman"/>
          <w:b/>
        </w:rPr>
        <w:t>LOT 3</w:t>
      </w:r>
    </w:p>
    <w:p w14:paraId="43A5C193" w14:textId="77777777" w:rsidR="00494099" w:rsidRPr="00F03D16" w:rsidRDefault="00494099" w:rsidP="00494099">
      <w:pPr>
        <w:jc w:val="both"/>
        <w:rPr>
          <w:rFonts w:ascii="Times New Roman" w:hAnsi="Times New Roman"/>
          <w:b/>
        </w:rPr>
      </w:pPr>
    </w:p>
    <w:p w14:paraId="5012D160" w14:textId="77777777" w:rsidR="00E246B9" w:rsidRPr="00F03D16" w:rsidRDefault="00F37414" w:rsidP="00E246B9">
      <w:pPr>
        <w:pStyle w:val="a5"/>
        <w:numPr>
          <w:ilvl w:val="0"/>
          <w:numId w:val="22"/>
        </w:numPr>
        <w:jc w:val="both"/>
        <w:rPr>
          <w:rFonts w:ascii="Times New Roman" w:hAnsi="Times New Roman"/>
          <w:b/>
        </w:rPr>
      </w:pPr>
      <w:r w:rsidRPr="00F03D16">
        <w:rPr>
          <w:rFonts w:ascii="Times New Roman" w:hAnsi="Times New Roman"/>
          <w:b/>
        </w:rPr>
        <w:t xml:space="preserve">International </w:t>
      </w:r>
      <w:r w:rsidR="00295589" w:rsidRPr="00F03D16">
        <w:rPr>
          <w:rFonts w:ascii="Times New Roman" w:hAnsi="Times New Roman"/>
          <w:b/>
        </w:rPr>
        <w:t>a</w:t>
      </w:r>
      <w:r w:rsidRPr="00F03D16">
        <w:rPr>
          <w:rFonts w:ascii="Times New Roman" w:hAnsi="Times New Roman"/>
          <w:b/>
        </w:rPr>
        <w:t xml:space="preserve">dvisory </w:t>
      </w:r>
      <w:r w:rsidR="00295589" w:rsidRPr="00F03D16">
        <w:rPr>
          <w:rFonts w:ascii="Times New Roman" w:hAnsi="Times New Roman"/>
          <w:b/>
        </w:rPr>
        <w:t>s</w:t>
      </w:r>
      <w:r w:rsidRPr="00F03D16">
        <w:rPr>
          <w:rFonts w:ascii="Times New Roman" w:hAnsi="Times New Roman"/>
          <w:b/>
        </w:rPr>
        <w:t>ervices and legal representation in the following areas:</w:t>
      </w:r>
    </w:p>
    <w:p w14:paraId="3DC734FA" w14:textId="4906CED0" w:rsidR="006E2C94" w:rsidRPr="00F03D16" w:rsidRDefault="00E246B9" w:rsidP="006E2C94">
      <w:pPr>
        <w:pStyle w:val="a5"/>
        <w:numPr>
          <w:ilvl w:val="1"/>
          <w:numId w:val="7"/>
        </w:numPr>
        <w:tabs>
          <w:tab w:val="left" w:pos="810"/>
        </w:tabs>
        <w:ind w:left="0" w:firstLine="360"/>
        <w:jc w:val="both"/>
        <w:rPr>
          <w:rFonts w:ascii="Times New Roman" w:hAnsi="Times New Roman"/>
          <w:b/>
        </w:rPr>
      </w:pPr>
      <w:r w:rsidRPr="00F03D16">
        <w:rPr>
          <w:rFonts w:ascii="Times New Roman" w:hAnsi="Times New Roman"/>
        </w:rPr>
        <w:t xml:space="preserve">Energy, Oil and </w:t>
      </w:r>
      <w:r w:rsidR="008F7087" w:rsidRPr="00F03D16">
        <w:rPr>
          <w:rFonts w:ascii="Times New Roman" w:hAnsi="Times New Roman"/>
        </w:rPr>
        <w:t>G</w:t>
      </w:r>
      <w:r w:rsidRPr="00F03D16">
        <w:rPr>
          <w:rFonts w:ascii="Times New Roman" w:hAnsi="Times New Roman"/>
        </w:rPr>
        <w:t xml:space="preserve">as </w:t>
      </w:r>
      <w:r w:rsidR="008F7087" w:rsidRPr="00F03D16">
        <w:rPr>
          <w:rFonts w:ascii="Times New Roman" w:hAnsi="Times New Roman"/>
        </w:rPr>
        <w:t>s</w:t>
      </w:r>
      <w:r w:rsidRPr="00F03D16">
        <w:rPr>
          <w:rFonts w:ascii="Times New Roman" w:hAnsi="Times New Roman"/>
        </w:rPr>
        <w:t>ector (including offshore and shallow water)</w:t>
      </w:r>
      <w:r w:rsidR="00F32579" w:rsidRPr="00F03D16">
        <w:rPr>
          <w:rFonts w:ascii="Times New Roman" w:hAnsi="Times New Roman"/>
        </w:rPr>
        <w:t>:</w:t>
      </w:r>
      <w:r w:rsidRPr="00F03D16">
        <w:rPr>
          <w:rFonts w:ascii="Times New Roman" w:hAnsi="Times New Roman"/>
        </w:rPr>
        <w:t xml:space="preserve"> upstream M&amp;A, farm-ins/outs, </w:t>
      </w:r>
      <w:r w:rsidR="00F32579" w:rsidRPr="00F03D16">
        <w:rPr>
          <w:rFonts w:ascii="Times New Roman" w:hAnsi="Times New Roman"/>
        </w:rPr>
        <w:t>host government agreements</w:t>
      </w:r>
      <w:r w:rsidR="008F7087" w:rsidRPr="00F03D16">
        <w:rPr>
          <w:rFonts w:ascii="Times New Roman" w:hAnsi="Times New Roman"/>
        </w:rPr>
        <w:t xml:space="preserve"> (PSC, licenses, concessions, service contracts etc.),</w:t>
      </w:r>
      <w:r w:rsidR="00F32579" w:rsidRPr="00F03D16">
        <w:rPr>
          <w:rFonts w:ascii="Times New Roman" w:hAnsi="Times New Roman"/>
        </w:rPr>
        <w:t xml:space="preserve"> </w:t>
      </w:r>
      <w:r w:rsidR="00965430" w:rsidRPr="00F03D16">
        <w:rPr>
          <w:rFonts w:ascii="Times New Roman" w:hAnsi="Times New Roman"/>
        </w:rPr>
        <w:t xml:space="preserve">related regulatory matters, </w:t>
      </w:r>
      <w:r w:rsidR="00F32579" w:rsidRPr="00F03D16">
        <w:rPr>
          <w:rFonts w:ascii="Times New Roman" w:hAnsi="Times New Roman"/>
        </w:rPr>
        <w:t xml:space="preserve">joint </w:t>
      </w:r>
      <w:r w:rsidR="008F7087" w:rsidRPr="00F03D16">
        <w:rPr>
          <w:rFonts w:ascii="Times New Roman" w:hAnsi="Times New Roman"/>
        </w:rPr>
        <w:t>operating</w:t>
      </w:r>
      <w:r w:rsidR="00F32579" w:rsidRPr="00F03D16">
        <w:rPr>
          <w:rFonts w:ascii="Times New Roman" w:hAnsi="Times New Roman"/>
        </w:rPr>
        <w:t xml:space="preserve"> agreements</w:t>
      </w:r>
      <w:r w:rsidR="008F7087" w:rsidRPr="00F03D16">
        <w:rPr>
          <w:rFonts w:ascii="Times New Roman" w:hAnsi="Times New Roman"/>
        </w:rPr>
        <w:t>,</w:t>
      </w:r>
      <w:r w:rsidR="00F32579" w:rsidRPr="00F03D16">
        <w:rPr>
          <w:rFonts w:ascii="Times New Roman" w:hAnsi="Times New Roman"/>
        </w:rPr>
        <w:t xml:space="preserve"> </w:t>
      </w:r>
      <w:r w:rsidRPr="00F03D16">
        <w:rPr>
          <w:rFonts w:ascii="Times New Roman" w:hAnsi="Times New Roman"/>
        </w:rPr>
        <w:t>production, operational</w:t>
      </w:r>
      <w:r w:rsidR="006E2C94" w:rsidRPr="00F03D16">
        <w:rPr>
          <w:rFonts w:ascii="Times New Roman" w:hAnsi="Times New Roman"/>
        </w:rPr>
        <w:t xml:space="preserve"> and </w:t>
      </w:r>
      <w:r w:rsidRPr="00F03D16">
        <w:rPr>
          <w:rFonts w:ascii="Times New Roman" w:hAnsi="Times New Roman"/>
        </w:rPr>
        <w:t xml:space="preserve">marketing issues, construction, administrative, commercial, corporate, </w:t>
      </w:r>
      <w:r w:rsidR="003C164B" w:rsidRPr="00F03D16">
        <w:rPr>
          <w:rFonts w:ascii="Times New Roman" w:hAnsi="Times New Roman"/>
        </w:rPr>
        <w:t>finance</w:t>
      </w:r>
      <w:r w:rsidRPr="00F03D16">
        <w:rPr>
          <w:rFonts w:ascii="Times New Roman" w:hAnsi="Times New Roman"/>
        </w:rPr>
        <w:t>, environmental, transport, customs</w:t>
      </w:r>
      <w:r w:rsidR="00F32579" w:rsidRPr="00F03D16">
        <w:rPr>
          <w:rFonts w:ascii="Times New Roman" w:hAnsi="Times New Roman"/>
        </w:rPr>
        <w:t xml:space="preserve"> </w:t>
      </w:r>
      <w:r w:rsidRPr="00F03D16">
        <w:rPr>
          <w:rFonts w:ascii="Times New Roman" w:hAnsi="Times New Roman"/>
        </w:rPr>
        <w:t>law</w:t>
      </w:r>
      <w:r w:rsidR="002125C0" w:rsidRPr="00F03D16">
        <w:rPr>
          <w:rFonts w:ascii="Times New Roman" w:hAnsi="Times New Roman"/>
        </w:rPr>
        <w:t>s</w:t>
      </w:r>
      <w:r w:rsidRPr="00F03D16">
        <w:rPr>
          <w:rFonts w:ascii="Times New Roman" w:hAnsi="Times New Roman"/>
        </w:rPr>
        <w:t xml:space="preserve">, </w:t>
      </w:r>
      <w:r w:rsidR="002125C0" w:rsidRPr="00F03D16">
        <w:rPr>
          <w:rFonts w:ascii="Times New Roman" w:hAnsi="Times New Roman"/>
        </w:rPr>
        <w:t>related full range work/services</w:t>
      </w:r>
      <w:r w:rsidRPr="00F03D16">
        <w:rPr>
          <w:rFonts w:ascii="Times New Roman" w:hAnsi="Times New Roman"/>
        </w:rPr>
        <w:t>/supply contracts</w:t>
      </w:r>
      <w:r w:rsidR="002125C0" w:rsidRPr="00F03D16">
        <w:rPr>
          <w:rFonts w:ascii="Times New Roman" w:hAnsi="Times New Roman"/>
        </w:rPr>
        <w:t>,</w:t>
      </w:r>
      <w:r w:rsidRPr="00F03D16">
        <w:rPr>
          <w:rFonts w:ascii="Times New Roman" w:hAnsi="Times New Roman"/>
        </w:rPr>
        <w:t xml:space="preserve"> etc. </w:t>
      </w:r>
    </w:p>
    <w:p w14:paraId="70B11AF2" w14:textId="086289D3" w:rsidR="006E2C94" w:rsidRPr="00F03D16" w:rsidRDefault="006E2C94" w:rsidP="006E2C94">
      <w:pPr>
        <w:pStyle w:val="a5"/>
        <w:numPr>
          <w:ilvl w:val="1"/>
          <w:numId w:val="7"/>
        </w:numPr>
        <w:tabs>
          <w:tab w:val="left" w:pos="810"/>
        </w:tabs>
        <w:ind w:left="0" w:firstLine="360"/>
        <w:jc w:val="both"/>
        <w:rPr>
          <w:rFonts w:ascii="Times New Roman" w:hAnsi="Times New Roman"/>
          <w:b/>
        </w:rPr>
      </w:pPr>
      <w:r w:rsidRPr="00F03D16">
        <w:rPr>
          <w:rFonts w:ascii="Times New Roman" w:hAnsi="Times New Roman"/>
        </w:rPr>
        <w:t>G</w:t>
      </w:r>
      <w:r w:rsidR="00F37414" w:rsidRPr="00F03D16">
        <w:rPr>
          <w:rFonts w:ascii="Times New Roman" w:hAnsi="Times New Roman"/>
        </w:rPr>
        <w:t>eneral regulatory matters</w:t>
      </w:r>
      <w:r w:rsidR="00494099" w:rsidRPr="00F03D16">
        <w:rPr>
          <w:rFonts w:ascii="Times New Roman" w:hAnsi="Times New Roman"/>
        </w:rPr>
        <w:t>,</w:t>
      </w:r>
      <w:r w:rsidR="00F37414" w:rsidRPr="00F03D16">
        <w:rPr>
          <w:rFonts w:ascii="Times New Roman" w:hAnsi="Times New Roman"/>
        </w:rPr>
        <w:t xml:space="preserve"> permitting compliance, anti-corruption and sanctions</w:t>
      </w:r>
      <w:r w:rsidR="00494099" w:rsidRPr="00F03D16">
        <w:rPr>
          <w:rFonts w:ascii="Times New Roman" w:hAnsi="Times New Roman"/>
        </w:rPr>
        <w:t>.</w:t>
      </w:r>
    </w:p>
    <w:p w14:paraId="65F9A124" w14:textId="77777777" w:rsidR="009676F8" w:rsidRPr="00F03D16" w:rsidRDefault="006E2C94" w:rsidP="009676F8">
      <w:pPr>
        <w:pStyle w:val="a5"/>
        <w:numPr>
          <w:ilvl w:val="1"/>
          <w:numId w:val="7"/>
        </w:numPr>
        <w:tabs>
          <w:tab w:val="left" w:pos="810"/>
        </w:tabs>
        <w:ind w:left="0" w:firstLine="360"/>
        <w:jc w:val="both"/>
        <w:rPr>
          <w:rFonts w:ascii="Times New Roman" w:hAnsi="Times New Roman"/>
          <w:b/>
        </w:rPr>
      </w:pPr>
      <w:r w:rsidRPr="00F03D16">
        <w:rPr>
          <w:rFonts w:ascii="Times New Roman" w:hAnsi="Times New Roman"/>
        </w:rPr>
        <w:t>I</w:t>
      </w:r>
      <w:r w:rsidR="00F37414" w:rsidRPr="00F03D16">
        <w:rPr>
          <w:rFonts w:ascii="Times New Roman" w:hAnsi="Times New Roman"/>
        </w:rPr>
        <w:t>nternational contracting, including onshore and offshore drilling contracts and associated contracts for services and supplies</w:t>
      </w:r>
      <w:r w:rsidRPr="00F03D16">
        <w:rPr>
          <w:rFonts w:ascii="Times New Roman" w:hAnsi="Times New Roman"/>
        </w:rPr>
        <w:t xml:space="preserve"> </w:t>
      </w:r>
      <w:r w:rsidR="00042FF1" w:rsidRPr="00F03D16">
        <w:rPr>
          <w:rFonts w:ascii="Times New Roman" w:hAnsi="Times New Roman"/>
        </w:rPr>
        <w:t>related to</w:t>
      </w:r>
      <w:r w:rsidRPr="00F03D16">
        <w:rPr>
          <w:rFonts w:ascii="Times New Roman" w:hAnsi="Times New Roman"/>
        </w:rPr>
        <w:t xml:space="preserve"> the oil and gas project.</w:t>
      </w:r>
    </w:p>
    <w:p w14:paraId="23434DD5" w14:textId="6B90922A" w:rsidR="00494099" w:rsidRPr="00F03D16" w:rsidRDefault="009676F8" w:rsidP="00494099">
      <w:pPr>
        <w:pStyle w:val="a5"/>
        <w:numPr>
          <w:ilvl w:val="1"/>
          <w:numId w:val="7"/>
        </w:numPr>
        <w:tabs>
          <w:tab w:val="left" w:pos="810"/>
        </w:tabs>
        <w:ind w:left="0" w:firstLine="360"/>
        <w:jc w:val="both"/>
        <w:rPr>
          <w:rFonts w:ascii="Times New Roman" w:hAnsi="Times New Roman"/>
          <w:b/>
        </w:rPr>
      </w:pPr>
      <w:r w:rsidRPr="00F03D16">
        <w:rPr>
          <w:rFonts w:ascii="Times New Roman" w:hAnsi="Times New Roman"/>
        </w:rPr>
        <w:t xml:space="preserve">General corporate matters, including corporate governance support with respect to internal documents, powers of attorneys, bylaws, </w:t>
      </w:r>
      <w:r w:rsidR="003C164B" w:rsidRPr="00F03D16">
        <w:rPr>
          <w:rFonts w:ascii="Times New Roman" w:hAnsi="Times New Roman"/>
        </w:rPr>
        <w:t>etc</w:t>
      </w:r>
      <w:r w:rsidRPr="00F03D16">
        <w:rPr>
          <w:rFonts w:ascii="Times New Roman" w:hAnsi="Times New Roman"/>
        </w:rPr>
        <w:t>.</w:t>
      </w:r>
    </w:p>
    <w:p w14:paraId="24443505" w14:textId="77777777" w:rsidR="00494099" w:rsidRPr="00F03D16" w:rsidRDefault="00494099" w:rsidP="00494099">
      <w:pPr>
        <w:pStyle w:val="a5"/>
        <w:tabs>
          <w:tab w:val="left" w:pos="810"/>
        </w:tabs>
        <w:ind w:left="360"/>
        <w:jc w:val="both"/>
        <w:rPr>
          <w:rFonts w:ascii="Times New Roman" w:hAnsi="Times New Roman"/>
          <w:b/>
        </w:rPr>
      </w:pPr>
    </w:p>
    <w:p w14:paraId="43EF8E0B" w14:textId="4A47245F" w:rsidR="00494099" w:rsidRPr="00F03D16" w:rsidRDefault="00F37414" w:rsidP="00494099">
      <w:pPr>
        <w:pStyle w:val="a5"/>
        <w:numPr>
          <w:ilvl w:val="0"/>
          <w:numId w:val="22"/>
        </w:numPr>
        <w:jc w:val="both"/>
        <w:rPr>
          <w:rFonts w:ascii="Times New Roman" w:hAnsi="Times New Roman"/>
          <w:b/>
        </w:rPr>
      </w:pPr>
      <w:r w:rsidRPr="00F03D16">
        <w:rPr>
          <w:rFonts w:ascii="Times New Roman" w:hAnsi="Times New Roman"/>
          <w:b/>
        </w:rPr>
        <w:t xml:space="preserve">Dispute </w:t>
      </w:r>
      <w:r w:rsidR="009566FA" w:rsidRPr="00F03D16">
        <w:rPr>
          <w:rFonts w:ascii="Times New Roman" w:hAnsi="Times New Roman"/>
          <w:b/>
        </w:rPr>
        <w:t>R</w:t>
      </w:r>
      <w:r w:rsidRPr="00F03D16">
        <w:rPr>
          <w:rFonts w:ascii="Times New Roman" w:hAnsi="Times New Roman"/>
          <w:b/>
        </w:rPr>
        <w:t>esolution</w:t>
      </w:r>
      <w:r w:rsidR="009566FA" w:rsidRPr="00F03D16">
        <w:rPr>
          <w:rFonts w:ascii="Times New Roman" w:hAnsi="Times New Roman"/>
          <w:b/>
        </w:rPr>
        <w:t>, Litigation</w:t>
      </w:r>
      <w:r w:rsidRPr="00F03D16">
        <w:rPr>
          <w:rFonts w:ascii="Times New Roman" w:hAnsi="Times New Roman"/>
          <w:b/>
        </w:rPr>
        <w:t>.</w:t>
      </w:r>
    </w:p>
    <w:p w14:paraId="3AD18981" w14:textId="4806B236" w:rsidR="00494099" w:rsidRPr="00F03D16" w:rsidRDefault="00494099" w:rsidP="00494099">
      <w:pPr>
        <w:pStyle w:val="a5"/>
        <w:numPr>
          <w:ilvl w:val="1"/>
          <w:numId w:val="22"/>
        </w:numPr>
        <w:tabs>
          <w:tab w:val="left" w:pos="810"/>
        </w:tabs>
        <w:ind w:left="0" w:firstLine="360"/>
        <w:jc w:val="both"/>
        <w:rPr>
          <w:rFonts w:ascii="Times New Roman" w:hAnsi="Times New Roman"/>
          <w:b/>
        </w:rPr>
      </w:pPr>
      <w:r w:rsidRPr="00F03D16">
        <w:rPr>
          <w:rFonts w:ascii="Times New Roman" w:hAnsi="Times New Roman"/>
        </w:rPr>
        <w:t>Advice on claims, disputes, settlement, negotiations, international commercial arbitration, or courts proceedings, including enforcement of arbitral awards and court decisions.</w:t>
      </w:r>
    </w:p>
    <w:p w14:paraId="107310FA" w14:textId="77777777" w:rsidR="009566FA" w:rsidRPr="00F03D16" w:rsidRDefault="00494099" w:rsidP="009566FA">
      <w:pPr>
        <w:pStyle w:val="a5"/>
        <w:numPr>
          <w:ilvl w:val="1"/>
          <w:numId w:val="22"/>
        </w:numPr>
        <w:tabs>
          <w:tab w:val="left" w:pos="810"/>
        </w:tabs>
        <w:ind w:left="0" w:firstLine="360"/>
        <w:jc w:val="both"/>
        <w:rPr>
          <w:rFonts w:ascii="Times New Roman" w:hAnsi="Times New Roman"/>
        </w:rPr>
      </w:pPr>
      <w:r w:rsidRPr="00F03D16">
        <w:rPr>
          <w:rFonts w:ascii="Times New Roman" w:hAnsi="Times New Roman"/>
        </w:rPr>
        <w:t>Representation of the Company and its affiliated project companies in arbitral and court proceedings related to any matter regarding both claims of the Company or against the Company.</w:t>
      </w:r>
    </w:p>
    <w:p w14:paraId="4A12C059" w14:textId="77777777" w:rsidR="009566FA" w:rsidRPr="00F03D16" w:rsidRDefault="009566FA" w:rsidP="009566FA">
      <w:pPr>
        <w:pStyle w:val="a5"/>
        <w:numPr>
          <w:ilvl w:val="1"/>
          <w:numId w:val="22"/>
        </w:numPr>
        <w:tabs>
          <w:tab w:val="left" w:pos="810"/>
        </w:tabs>
        <w:ind w:left="0" w:firstLine="360"/>
        <w:jc w:val="both"/>
        <w:rPr>
          <w:rFonts w:ascii="Times New Roman" w:hAnsi="Times New Roman"/>
        </w:rPr>
      </w:pPr>
      <w:r w:rsidRPr="00F03D16">
        <w:rPr>
          <w:rFonts w:ascii="Times New Roman" w:hAnsi="Times New Roman"/>
        </w:rPr>
        <w:t>Advice and representation of the Company and its affiliated companies in administrative, civil, labor, and other legal matters before courts and authorities.</w:t>
      </w:r>
    </w:p>
    <w:p w14:paraId="0A3EB509" w14:textId="2D2EC08A" w:rsidR="00F37414" w:rsidRPr="00F03D16" w:rsidRDefault="00F37414" w:rsidP="009566FA">
      <w:pPr>
        <w:pStyle w:val="a5"/>
        <w:numPr>
          <w:ilvl w:val="1"/>
          <w:numId w:val="22"/>
        </w:numPr>
        <w:tabs>
          <w:tab w:val="left" w:pos="810"/>
        </w:tabs>
        <w:ind w:left="0" w:firstLine="360"/>
        <w:jc w:val="both"/>
        <w:rPr>
          <w:rFonts w:ascii="Times New Roman" w:hAnsi="Times New Roman"/>
        </w:rPr>
      </w:pPr>
      <w:r w:rsidRPr="00F03D16">
        <w:rPr>
          <w:rFonts w:ascii="Times New Roman" w:hAnsi="Times New Roman"/>
        </w:rPr>
        <w:t xml:space="preserve">Representation of the Company and its affiliated project companies </w:t>
      </w:r>
      <w:r w:rsidR="009566FA" w:rsidRPr="00F03D16">
        <w:rPr>
          <w:rFonts w:ascii="Times New Roman" w:hAnsi="Times New Roman"/>
        </w:rPr>
        <w:t xml:space="preserve">before foreign </w:t>
      </w:r>
      <w:r w:rsidR="00BA7D99" w:rsidRPr="00F03D16">
        <w:rPr>
          <w:rFonts w:ascii="Times New Roman" w:hAnsi="Times New Roman"/>
        </w:rPr>
        <w:t>and international</w:t>
      </w:r>
      <w:r w:rsidR="009566FA" w:rsidRPr="00F03D16">
        <w:rPr>
          <w:rFonts w:ascii="Times New Roman" w:hAnsi="Times New Roman"/>
        </w:rPr>
        <w:t xml:space="preserve"> </w:t>
      </w:r>
      <w:r w:rsidRPr="00F03D16">
        <w:rPr>
          <w:rFonts w:ascii="Times New Roman" w:hAnsi="Times New Roman"/>
        </w:rPr>
        <w:t>agencies</w:t>
      </w:r>
      <w:r w:rsidR="009566FA" w:rsidRPr="00F03D16">
        <w:rPr>
          <w:rFonts w:ascii="Times New Roman" w:hAnsi="Times New Roman"/>
        </w:rPr>
        <w:t xml:space="preserve"> and authorities</w:t>
      </w:r>
      <w:r w:rsidRPr="00F03D16">
        <w:rPr>
          <w:rFonts w:ascii="Times New Roman" w:hAnsi="Times New Roman"/>
        </w:rPr>
        <w:t>.</w:t>
      </w:r>
    </w:p>
    <w:p w14:paraId="5B52702C" w14:textId="77777777" w:rsidR="008F7087" w:rsidRPr="00F03D16" w:rsidRDefault="008F7087" w:rsidP="00AF12F2">
      <w:pPr>
        <w:ind w:left="360"/>
        <w:jc w:val="both"/>
        <w:rPr>
          <w:rFonts w:ascii="Times New Roman" w:hAnsi="Times New Roman"/>
        </w:rPr>
      </w:pPr>
    </w:p>
    <w:p w14:paraId="22B3CA4D" w14:textId="4148DDA4" w:rsidR="00F37414" w:rsidRPr="00F03D16" w:rsidRDefault="00BA7D99" w:rsidP="00BA7D99">
      <w:pPr>
        <w:pStyle w:val="a5"/>
        <w:numPr>
          <w:ilvl w:val="0"/>
          <w:numId w:val="22"/>
        </w:numPr>
        <w:jc w:val="both"/>
        <w:rPr>
          <w:rFonts w:ascii="Times New Roman" w:hAnsi="Times New Roman"/>
          <w:b/>
        </w:rPr>
      </w:pPr>
      <w:r w:rsidRPr="00F03D16">
        <w:rPr>
          <w:rFonts w:ascii="Times New Roman" w:hAnsi="Times New Roman"/>
          <w:b/>
        </w:rPr>
        <w:t>Additional services, including but not limited to:</w:t>
      </w:r>
    </w:p>
    <w:p w14:paraId="1A8EDEA7" w14:textId="77777777" w:rsidR="00BA7D99" w:rsidRPr="00F03D16" w:rsidRDefault="00BA7D99" w:rsidP="00BA7D99">
      <w:pPr>
        <w:pStyle w:val="a5"/>
        <w:numPr>
          <w:ilvl w:val="1"/>
          <w:numId w:val="22"/>
        </w:numPr>
        <w:tabs>
          <w:tab w:val="left" w:pos="810"/>
          <w:tab w:val="left" w:pos="900"/>
        </w:tabs>
        <w:ind w:left="0" w:firstLine="360"/>
        <w:jc w:val="both"/>
        <w:rPr>
          <w:rFonts w:ascii="Times New Roman" w:hAnsi="Times New Roman"/>
          <w:b/>
        </w:rPr>
      </w:pPr>
      <w:r w:rsidRPr="00F03D16">
        <w:rPr>
          <w:rFonts w:ascii="Times New Roman" w:hAnsi="Times New Roman"/>
        </w:rPr>
        <w:t>A quarterly training session/seminar on a topic to be agreed with the Company.</w:t>
      </w:r>
    </w:p>
    <w:p w14:paraId="76007B0A" w14:textId="77777777" w:rsidR="00BA7D99" w:rsidRPr="00F03D16" w:rsidRDefault="00BA7D99" w:rsidP="00BA7D99">
      <w:pPr>
        <w:pStyle w:val="a5"/>
        <w:numPr>
          <w:ilvl w:val="1"/>
          <w:numId w:val="22"/>
        </w:numPr>
        <w:tabs>
          <w:tab w:val="left" w:pos="810"/>
          <w:tab w:val="left" w:pos="900"/>
        </w:tabs>
        <w:ind w:left="0" w:firstLine="360"/>
        <w:jc w:val="both"/>
        <w:rPr>
          <w:rFonts w:ascii="Times New Roman" w:hAnsi="Times New Roman"/>
          <w:b/>
        </w:rPr>
      </w:pPr>
      <w:r w:rsidRPr="00F03D16">
        <w:rPr>
          <w:rFonts w:ascii="Times New Roman" w:hAnsi="Times New Roman"/>
        </w:rPr>
        <w:lastRenderedPageBreak/>
        <w:t>Legal updates/client alerts on major legal topics relevant to the Company’s business.</w:t>
      </w:r>
    </w:p>
    <w:p w14:paraId="0B7D2EB0" w14:textId="77777777" w:rsidR="00BA7D99" w:rsidRPr="00F03D16" w:rsidRDefault="00BA7D99" w:rsidP="00BA7D99">
      <w:pPr>
        <w:pStyle w:val="a5"/>
        <w:numPr>
          <w:ilvl w:val="1"/>
          <w:numId w:val="22"/>
        </w:numPr>
        <w:tabs>
          <w:tab w:val="left" w:pos="810"/>
          <w:tab w:val="left" w:pos="900"/>
        </w:tabs>
        <w:ind w:left="0" w:firstLine="360"/>
        <w:jc w:val="both"/>
        <w:rPr>
          <w:rFonts w:ascii="Times New Roman" w:hAnsi="Times New Roman"/>
          <w:b/>
        </w:rPr>
      </w:pPr>
      <w:r w:rsidRPr="00F03D16">
        <w:rPr>
          <w:rFonts w:ascii="Times New Roman" w:hAnsi="Times New Roman"/>
        </w:rPr>
        <w:t>Access to Contractor’s legal resources (e.g. Lexis Nexis, Westlaw, Lexgulf, Practical Law Company, etc) upon reasonable request;</w:t>
      </w:r>
    </w:p>
    <w:p w14:paraId="5C74D9BF" w14:textId="77777777" w:rsidR="00BA7D99" w:rsidRPr="00F03D16" w:rsidRDefault="00BA7D99" w:rsidP="00BA7D99">
      <w:pPr>
        <w:pStyle w:val="a5"/>
        <w:numPr>
          <w:ilvl w:val="1"/>
          <w:numId w:val="22"/>
        </w:numPr>
        <w:tabs>
          <w:tab w:val="left" w:pos="810"/>
          <w:tab w:val="left" w:pos="900"/>
        </w:tabs>
        <w:ind w:left="0" w:firstLine="360"/>
        <w:jc w:val="both"/>
        <w:rPr>
          <w:rFonts w:ascii="Times New Roman" w:hAnsi="Times New Roman"/>
          <w:b/>
        </w:rPr>
      </w:pPr>
      <w:r w:rsidRPr="00F03D16">
        <w:rPr>
          <w:rFonts w:ascii="Times New Roman" w:hAnsi="Times New Roman"/>
        </w:rPr>
        <w:t>Provision of recurring trainee secondments per Company’s requests.</w:t>
      </w:r>
    </w:p>
    <w:p w14:paraId="09D25CFE" w14:textId="77777777" w:rsidR="00BA7D99" w:rsidRPr="00F03D16" w:rsidRDefault="00BA7D99" w:rsidP="00BA7D99">
      <w:pPr>
        <w:pStyle w:val="a5"/>
        <w:numPr>
          <w:ilvl w:val="1"/>
          <w:numId w:val="22"/>
        </w:numPr>
        <w:tabs>
          <w:tab w:val="left" w:pos="810"/>
          <w:tab w:val="left" w:pos="900"/>
        </w:tabs>
        <w:ind w:left="0" w:firstLine="360"/>
        <w:jc w:val="both"/>
        <w:rPr>
          <w:rFonts w:ascii="Times New Roman" w:hAnsi="Times New Roman"/>
          <w:b/>
        </w:rPr>
      </w:pPr>
      <w:r w:rsidRPr="00F03D16">
        <w:rPr>
          <w:rFonts w:ascii="Times New Roman" w:hAnsi="Times New Roman"/>
        </w:rPr>
        <w:t>Qualified lawyer secondment to the Company, if the Company so requires for a specific project and/or a period of cover (e.g. maternity/illness). Each Contractor is requested to provide fixed and firm monthly rates for lawyers at a level of 1-4 years PQE. Upon request, Company may procure a secondment based on such rates after prior discussion with the Contractor.</w:t>
      </w:r>
    </w:p>
    <w:p w14:paraId="66461F43" w14:textId="77777777" w:rsidR="00BA7D99" w:rsidRPr="00F03D16" w:rsidRDefault="00BA7D99" w:rsidP="00BA7D99">
      <w:pPr>
        <w:pStyle w:val="a5"/>
        <w:numPr>
          <w:ilvl w:val="1"/>
          <w:numId w:val="22"/>
        </w:numPr>
        <w:tabs>
          <w:tab w:val="left" w:pos="810"/>
          <w:tab w:val="left" w:pos="900"/>
        </w:tabs>
        <w:ind w:left="0" w:firstLine="360"/>
        <w:jc w:val="both"/>
        <w:rPr>
          <w:rFonts w:ascii="Times New Roman" w:hAnsi="Times New Roman"/>
          <w:b/>
        </w:rPr>
      </w:pPr>
      <w:r w:rsidRPr="00F03D16">
        <w:rPr>
          <w:rFonts w:ascii="Times New Roman" w:hAnsi="Times New Roman"/>
        </w:rPr>
        <w:t>Contractor may provide any other additional services as agreed with the Company.</w:t>
      </w:r>
    </w:p>
    <w:p w14:paraId="76E81B00" w14:textId="77777777" w:rsidR="00BA7D99" w:rsidRPr="00F03D16" w:rsidRDefault="00BA7D99" w:rsidP="00AF12F2">
      <w:pPr>
        <w:ind w:left="360"/>
        <w:jc w:val="both"/>
        <w:rPr>
          <w:rFonts w:ascii="Times New Roman" w:hAnsi="Times New Roman"/>
        </w:rPr>
      </w:pPr>
    </w:p>
    <w:p w14:paraId="4D14E164" w14:textId="3C6F246A" w:rsidR="00F37414" w:rsidRPr="00F03D16" w:rsidRDefault="00F37414" w:rsidP="009B083D">
      <w:pPr>
        <w:ind w:firstLine="450"/>
        <w:jc w:val="both"/>
        <w:rPr>
          <w:rFonts w:ascii="Times New Roman" w:hAnsi="Times New Roman"/>
        </w:rPr>
      </w:pPr>
      <w:r w:rsidRPr="00F03D16">
        <w:rPr>
          <w:rFonts w:ascii="Times New Roman" w:hAnsi="Times New Roman"/>
        </w:rPr>
        <w:t xml:space="preserve">Services </w:t>
      </w:r>
      <w:r w:rsidR="00F354F5" w:rsidRPr="00F03D16">
        <w:rPr>
          <w:rFonts w:ascii="Times New Roman" w:hAnsi="Times New Roman"/>
        </w:rPr>
        <w:t xml:space="preserve">shall include but not be limited to legal advice, preparation of reports and memoranda, responses to various queries, drafting of contracts or specific clauses thereof and </w:t>
      </w:r>
      <w:r w:rsidRPr="00F03D16">
        <w:rPr>
          <w:rFonts w:ascii="Times New Roman" w:hAnsi="Times New Roman"/>
        </w:rPr>
        <w:t xml:space="preserve">may include the matters of Mexican law, English law, US </w:t>
      </w:r>
      <w:r w:rsidR="009B083D" w:rsidRPr="00F03D16">
        <w:rPr>
          <w:rFonts w:ascii="Times New Roman" w:hAnsi="Times New Roman"/>
        </w:rPr>
        <w:t>law</w:t>
      </w:r>
      <w:r w:rsidRPr="00F03D16">
        <w:rPr>
          <w:rFonts w:ascii="Times New Roman" w:hAnsi="Times New Roman"/>
        </w:rPr>
        <w:t>, and European jurisdictions, cross border matters and applicable international treaties</w:t>
      </w:r>
      <w:r w:rsidR="009B083D" w:rsidRPr="00F03D16">
        <w:rPr>
          <w:rFonts w:ascii="Times New Roman" w:hAnsi="Times New Roman"/>
        </w:rPr>
        <w:t>, regulations, and sanctions regimes</w:t>
      </w:r>
      <w:r w:rsidRPr="00F03D16">
        <w:rPr>
          <w:rFonts w:ascii="Times New Roman" w:hAnsi="Times New Roman"/>
        </w:rPr>
        <w:t>. The successful bidder should be able to avail of advice and support of its own offices or associated local firms as required by the specifics of the matter.</w:t>
      </w:r>
    </w:p>
    <w:p w14:paraId="5AC75330" w14:textId="77777777" w:rsidR="00BD0CC0" w:rsidRPr="00F03D16" w:rsidRDefault="00BD0CC0" w:rsidP="00AF12F2">
      <w:pPr>
        <w:jc w:val="both"/>
        <w:rPr>
          <w:rFonts w:ascii="Times New Roman" w:hAnsi="Times New Roman"/>
        </w:rPr>
      </w:pPr>
    </w:p>
    <w:p w14:paraId="4D1A0F58" w14:textId="492F9D0D" w:rsidR="005F062C" w:rsidRPr="00F03D16" w:rsidRDefault="00F03D16" w:rsidP="009B083D">
      <w:pPr>
        <w:pStyle w:val="1"/>
        <w:keepNext w:val="0"/>
        <w:numPr>
          <w:ilvl w:val="0"/>
          <w:numId w:val="20"/>
        </w:numPr>
        <w:shd w:val="clear" w:color="auto" w:fill="auto"/>
        <w:snapToGrid/>
        <w:spacing w:before="0" w:line="240" w:lineRule="auto"/>
        <w:ind w:left="720" w:right="0" w:hanging="360"/>
        <w:jc w:val="left"/>
        <w:rPr>
          <w:color w:val="auto"/>
          <w:szCs w:val="24"/>
        </w:rPr>
      </w:pPr>
      <w:r w:rsidRPr="00F03D16">
        <w:rPr>
          <w:color w:val="auto"/>
          <w:szCs w:val="24"/>
        </w:rPr>
        <w:t xml:space="preserve">ADDITIONAL  </w:t>
      </w:r>
      <w:r w:rsidR="009B083D" w:rsidRPr="00F03D16">
        <w:rPr>
          <w:color w:val="auto"/>
          <w:szCs w:val="24"/>
        </w:rPr>
        <w:t>OF SERVICES</w:t>
      </w:r>
    </w:p>
    <w:p w14:paraId="66DB343F" w14:textId="77777777" w:rsidR="009B083D" w:rsidRPr="00F03D16" w:rsidRDefault="009B083D" w:rsidP="009B083D"/>
    <w:p w14:paraId="321A5152" w14:textId="16C2C896" w:rsidR="005F062C" w:rsidRPr="00F03D16" w:rsidRDefault="005F062C" w:rsidP="009B083D">
      <w:pPr>
        <w:pStyle w:val="a5"/>
        <w:numPr>
          <w:ilvl w:val="0"/>
          <w:numId w:val="23"/>
        </w:numPr>
        <w:jc w:val="both"/>
        <w:rPr>
          <w:rFonts w:ascii="Times New Roman" w:hAnsi="Times New Roman"/>
        </w:rPr>
      </w:pPr>
      <w:r w:rsidRPr="00F03D16">
        <w:rPr>
          <w:rFonts w:ascii="Times New Roman" w:hAnsi="Times New Roman"/>
        </w:rPr>
        <w:t xml:space="preserve">Company requires each Contractor to provide </w:t>
      </w:r>
      <w:r w:rsidR="00297FDC" w:rsidRPr="00F03D16">
        <w:rPr>
          <w:rFonts w:ascii="Times New Roman" w:hAnsi="Times New Roman"/>
        </w:rPr>
        <w:t>additional</w:t>
      </w:r>
      <w:r w:rsidRPr="00F03D16">
        <w:rPr>
          <w:rFonts w:ascii="Times New Roman" w:hAnsi="Times New Roman"/>
        </w:rPr>
        <w:t xml:space="preserve"> services</w:t>
      </w:r>
      <w:r w:rsidR="009B083D" w:rsidRPr="00F03D16">
        <w:rPr>
          <w:rFonts w:ascii="Times New Roman" w:hAnsi="Times New Roman"/>
        </w:rPr>
        <w:t xml:space="preserve">, </w:t>
      </w:r>
      <w:r w:rsidRPr="00F03D16">
        <w:rPr>
          <w:rFonts w:ascii="Times New Roman" w:hAnsi="Times New Roman"/>
        </w:rPr>
        <w:t>set out in the Scope of Services</w:t>
      </w:r>
      <w:r w:rsidR="009B083D" w:rsidRPr="00F03D16">
        <w:rPr>
          <w:rFonts w:ascii="Times New Roman" w:hAnsi="Times New Roman"/>
        </w:rPr>
        <w:t>,</w:t>
      </w:r>
      <w:r w:rsidRPr="00F03D16">
        <w:rPr>
          <w:rFonts w:ascii="Times New Roman" w:hAnsi="Times New Roman"/>
        </w:rPr>
        <w:t xml:space="preserve"> but </w:t>
      </w:r>
      <w:r w:rsidR="009B083D" w:rsidRPr="00F03D16">
        <w:rPr>
          <w:rFonts w:ascii="Times New Roman" w:hAnsi="Times New Roman"/>
        </w:rPr>
        <w:t>at least</w:t>
      </w:r>
      <w:r w:rsidRPr="00F03D16">
        <w:rPr>
          <w:rFonts w:ascii="Times New Roman" w:hAnsi="Times New Roman"/>
        </w:rPr>
        <w:t xml:space="preserve">: </w:t>
      </w:r>
    </w:p>
    <w:p w14:paraId="36AE91D4" w14:textId="3C7774C9" w:rsidR="005F062C" w:rsidRPr="00F03D16" w:rsidRDefault="005F062C" w:rsidP="009B083D">
      <w:pPr>
        <w:pStyle w:val="a5"/>
        <w:numPr>
          <w:ilvl w:val="0"/>
          <w:numId w:val="21"/>
        </w:numPr>
        <w:ind w:left="1170" w:hanging="450"/>
        <w:jc w:val="both"/>
        <w:rPr>
          <w:rFonts w:ascii="Times New Roman" w:hAnsi="Times New Roman"/>
        </w:rPr>
      </w:pPr>
      <w:r w:rsidRPr="00F03D16">
        <w:rPr>
          <w:rFonts w:ascii="Times New Roman" w:hAnsi="Times New Roman"/>
        </w:rPr>
        <w:t xml:space="preserve">Quarterly training </w:t>
      </w:r>
      <w:r w:rsidR="00D067AF" w:rsidRPr="00F03D16">
        <w:rPr>
          <w:rFonts w:ascii="Times New Roman" w:hAnsi="Times New Roman"/>
        </w:rPr>
        <w:t>sessions.</w:t>
      </w:r>
    </w:p>
    <w:p w14:paraId="621D4017" w14:textId="0E36760F" w:rsidR="005F062C" w:rsidRPr="00F03D16" w:rsidRDefault="005F062C" w:rsidP="009B083D">
      <w:pPr>
        <w:pStyle w:val="a5"/>
        <w:numPr>
          <w:ilvl w:val="0"/>
          <w:numId w:val="21"/>
        </w:numPr>
        <w:ind w:left="1170" w:hanging="450"/>
        <w:jc w:val="both"/>
        <w:rPr>
          <w:rFonts w:ascii="Times New Roman" w:hAnsi="Times New Roman"/>
        </w:rPr>
      </w:pPr>
      <w:r w:rsidRPr="00F03D16">
        <w:rPr>
          <w:rFonts w:ascii="Times New Roman" w:hAnsi="Times New Roman"/>
        </w:rPr>
        <w:t xml:space="preserve">Legal updates/client </w:t>
      </w:r>
      <w:r w:rsidR="00D067AF" w:rsidRPr="00F03D16">
        <w:rPr>
          <w:rFonts w:ascii="Times New Roman" w:hAnsi="Times New Roman"/>
        </w:rPr>
        <w:t>alerts.</w:t>
      </w:r>
    </w:p>
    <w:p w14:paraId="1730968A" w14:textId="0F230902" w:rsidR="005F062C" w:rsidRPr="00F03D16" w:rsidRDefault="005F062C" w:rsidP="009B083D">
      <w:pPr>
        <w:pStyle w:val="a5"/>
        <w:numPr>
          <w:ilvl w:val="0"/>
          <w:numId w:val="21"/>
        </w:numPr>
        <w:ind w:left="1170" w:hanging="450"/>
        <w:jc w:val="both"/>
        <w:rPr>
          <w:rFonts w:ascii="Times New Roman" w:hAnsi="Times New Roman"/>
        </w:rPr>
      </w:pPr>
      <w:r w:rsidRPr="00F03D16">
        <w:rPr>
          <w:rFonts w:ascii="Times New Roman" w:hAnsi="Times New Roman"/>
        </w:rPr>
        <w:t xml:space="preserve">Access to Contractor’s legal </w:t>
      </w:r>
      <w:r w:rsidR="00D067AF" w:rsidRPr="00F03D16">
        <w:rPr>
          <w:rFonts w:ascii="Times New Roman" w:hAnsi="Times New Roman"/>
        </w:rPr>
        <w:t>library.</w:t>
      </w:r>
    </w:p>
    <w:p w14:paraId="3E0BD9FD" w14:textId="27D85CF2" w:rsidR="005F062C" w:rsidRPr="00F03D16" w:rsidRDefault="005F062C" w:rsidP="009B083D">
      <w:pPr>
        <w:pStyle w:val="a5"/>
        <w:numPr>
          <w:ilvl w:val="0"/>
          <w:numId w:val="21"/>
        </w:numPr>
        <w:ind w:left="1170" w:hanging="450"/>
        <w:jc w:val="both"/>
        <w:rPr>
          <w:rFonts w:ascii="Times New Roman" w:hAnsi="Times New Roman"/>
        </w:rPr>
      </w:pPr>
      <w:r w:rsidRPr="00F03D16">
        <w:rPr>
          <w:rFonts w:ascii="Times New Roman" w:hAnsi="Times New Roman"/>
        </w:rPr>
        <w:t xml:space="preserve">Trainee Secondments; and </w:t>
      </w:r>
    </w:p>
    <w:p w14:paraId="67B69F0B" w14:textId="1CAEB45D" w:rsidR="005F062C" w:rsidRPr="00F03D16" w:rsidRDefault="005F062C" w:rsidP="009B083D">
      <w:pPr>
        <w:pStyle w:val="a5"/>
        <w:numPr>
          <w:ilvl w:val="0"/>
          <w:numId w:val="21"/>
        </w:numPr>
        <w:ind w:left="1170" w:hanging="450"/>
        <w:jc w:val="both"/>
        <w:rPr>
          <w:rFonts w:ascii="Times New Roman" w:hAnsi="Times New Roman"/>
        </w:rPr>
      </w:pPr>
      <w:r w:rsidRPr="00F03D16">
        <w:rPr>
          <w:rFonts w:ascii="Times New Roman" w:hAnsi="Times New Roman"/>
        </w:rPr>
        <w:t>Qualified lawyer secondments.</w:t>
      </w:r>
    </w:p>
    <w:p w14:paraId="54E31524" w14:textId="77777777" w:rsidR="0048083C" w:rsidRPr="00AF12F2" w:rsidRDefault="0048083C" w:rsidP="00AF12F2">
      <w:pPr>
        <w:jc w:val="both"/>
        <w:rPr>
          <w:rFonts w:ascii="Times New Roman" w:hAnsi="Times New Roman"/>
          <w:color w:val="FF0000"/>
        </w:rPr>
      </w:pPr>
      <w:bookmarkStart w:id="1" w:name="_GoBack"/>
      <w:bookmarkEnd w:id="1"/>
    </w:p>
    <w:sectPr w:rsidR="0048083C" w:rsidRPr="00AF1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8C6E1" w14:textId="77777777" w:rsidR="00573E97" w:rsidRDefault="00573E97" w:rsidP="005F062C">
      <w:r>
        <w:separator/>
      </w:r>
    </w:p>
  </w:endnote>
  <w:endnote w:type="continuationSeparator" w:id="0">
    <w:p w14:paraId="07E48F82" w14:textId="77777777" w:rsidR="00573E97" w:rsidRDefault="00573E97" w:rsidP="005F0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pitch w:val="variable"/>
    <w:sig w:usb0="00000287"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75FD8" w14:textId="77777777" w:rsidR="00573E97" w:rsidRDefault="00573E97" w:rsidP="005F062C">
      <w:r>
        <w:separator/>
      </w:r>
    </w:p>
  </w:footnote>
  <w:footnote w:type="continuationSeparator" w:id="0">
    <w:p w14:paraId="13F44280" w14:textId="77777777" w:rsidR="00573E97" w:rsidRDefault="00573E97" w:rsidP="005F06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71AF"/>
    <w:multiLevelType w:val="hybridMultilevel"/>
    <w:tmpl w:val="2DD4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F3D9E"/>
    <w:multiLevelType w:val="hybridMultilevel"/>
    <w:tmpl w:val="42808E0A"/>
    <w:lvl w:ilvl="0" w:tplc="04F210F6">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3E6172"/>
    <w:multiLevelType w:val="hybridMultilevel"/>
    <w:tmpl w:val="DBAE5A8C"/>
    <w:lvl w:ilvl="0" w:tplc="F7D085A6">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D20A6"/>
    <w:multiLevelType w:val="multilevel"/>
    <w:tmpl w:val="A4D6200A"/>
    <w:lvl w:ilvl="0">
      <w:start w:val="1"/>
      <w:numFmt w:val="decimal"/>
      <w:pStyle w:val="2"/>
      <w:lvlText w:val="%1."/>
      <w:lvlJc w:val="left"/>
      <w:pPr>
        <w:ind w:left="720" w:hanging="360"/>
      </w:pPr>
      <w:rPr>
        <w:rFonts w:hint="default"/>
      </w:rPr>
    </w:lvl>
    <w:lvl w:ilvl="1">
      <w:start w:val="1"/>
      <w:numFmt w:val="decimal"/>
      <w:pStyle w:val="3"/>
      <w:isLgl/>
      <w:lvlText w:val="%1.%2"/>
      <w:lvlJc w:val="left"/>
      <w:pPr>
        <w:ind w:left="720" w:hanging="360"/>
      </w:pPr>
      <w:rPr>
        <w:rFonts w:hint="default"/>
        <w:lang w:val="ru-RU"/>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E2B160D"/>
    <w:multiLevelType w:val="hybridMultilevel"/>
    <w:tmpl w:val="C5143F6C"/>
    <w:lvl w:ilvl="0" w:tplc="A6CC4D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237BE"/>
    <w:multiLevelType w:val="hybridMultilevel"/>
    <w:tmpl w:val="765C31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8904BAD"/>
    <w:multiLevelType w:val="hybridMultilevel"/>
    <w:tmpl w:val="F78EA6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A84356B"/>
    <w:multiLevelType w:val="hybridMultilevel"/>
    <w:tmpl w:val="01A0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B04B8"/>
    <w:multiLevelType w:val="hybridMultilevel"/>
    <w:tmpl w:val="7A0696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B67C3"/>
    <w:multiLevelType w:val="hybridMultilevel"/>
    <w:tmpl w:val="F32C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D0D40"/>
    <w:multiLevelType w:val="multilevel"/>
    <w:tmpl w:val="EBE2F7C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1" w15:restartNumberingAfterBreak="0">
    <w:nsid w:val="407C0C1C"/>
    <w:multiLevelType w:val="multilevel"/>
    <w:tmpl w:val="C2BE93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464651B"/>
    <w:multiLevelType w:val="multilevel"/>
    <w:tmpl w:val="DBDE9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2D6745"/>
    <w:multiLevelType w:val="hybridMultilevel"/>
    <w:tmpl w:val="2906368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B357532"/>
    <w:multiLevelType w:val="hybridMultilevel"/>
    <w:tmpl w:val="A5A4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70613"/>
    <w:multiLevelType w:val="hybridMultilevel"/>
    <w:tmpl w:val="8256A0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C08B7"/>
    <w:multiLevelType w:val="hybridMultilevel"/>
    <w:tmpl w:val="F200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01377"/>
    <w:multiLevelType w:val="hybridMultilevel"/>
    <w:tmpl w:val="FED4D7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D3F58"/>
    <w:multiLevelType w:val="hybridMultilevel"/>
    <w:tmpl w:val="6A6AEFF0"/>
    <w:lvl w:ilvl="0" w:tplc="04F210F6">
      <w:start w:val="1"/>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50B253E"/>
    <w:multiLevelType w:val="hybridMultilevel"/>
    <w:tmpl w:val="03EE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90389"/>
    <w:multiLevelType w:val="multilevel"/>
    <w:tmpl w:val="DBDE94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1422F1A"/>
    <w:multiLevelType w:val="multilevel"/>
    <w:tmpl w:val="5866D8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DBD138F"/>
    <w:multiLevelType w:val="hybridMultilevel"/>
    <w:tmpl w:val="FE103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5"/>
  </w:num>
  <w:num w:numId="4">
    <w:abstractNumId w:val="22"/>
  </w:num>
  <w:num w:numId="5">
    <w:abstractNumId w:val="17"/>
  </w:num>
  <w:num w:numId="6">
    <w:abstractNumId w:val="9"/>
  </w:num>
  <w:num w:numId="7">
    <w:abstractNumId w:val="10"/>
  </w:num>
  <w:num w:numId="8">
    <w:abstractNumId w:val="7"/>
  </w:num>
  <w:num w:numId="9">
    <w:abstractNumId w:val="11"/>
  </w:num>
  <w:num w:numId="10">
    <w:abstractNumId w:val="13"/>
  </w:num>
  <w:num w:numId="11">
    <w:abstractNumId w:val="15"/>
  </w:num>
  <w:num w:numId="12">
    <w:abstractNumId w:val="8"/>
  </w:num>
  <w:num w:numId="13">
    <w:abstractNumId w:val="0"/>
  </w:num>
  <w:num w:numId="14">
    <w:abstractNumId w:val="19"/>
  </w:num>
  <w:num w:numId="15">
    <w:abstractNumId w:val="14"/>
  </w:num>
  <w:num w:numId="16">
    <w:abstractNumId w:val="2"/>
  </w:num>
  <w:num w:numId="17">
    <w:abstractNumId w:val="6"/>
  </w:num>
  <w:num w:numId="18">
    <w:abstractNumId w:val="6"/>
  </w:num>
  <w:num w:numId="19">
    <w:abstractNumId w:val="21"/>
  </w:num>
  <w:num w:numId="20">
    <w:abstractNumId w:val="4"/>
  </w:num>
  <w:num w:numId="21">
    <w:abstractNumId w:val="18"/>
  </w:num>
  <w:num w:numId="22">
    <w:abstractNumId w:val="20"/>
  </w:num>
  <w:num w:numId="23">
    <w:abstractNumId w:val="1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38B"/>
    <w:rsid w:val="000158AF"/>
    <w:rsid w:val="00042FF1"/>
    <w:rsid w:val="000437FE"/>
    <w:rsid w:val="00050F4E"/>
    <w:rsid w:val="0007025D"/>
    <w:rsid w:val="00076AB4"/>
    <w:rsid w:val="000D2D3B"/>
    <w:rsid w:val="001070A3"/>
    <w:rsid w:val="0011048C"/>
    <w:rsid w:val="001306B6"/>
    <w:rsid w:val="001472BB"/>
    <w:rsid w:val="00155455"/>
    <w:rsid w:val="00155A2A"/>
    <w:rsid w:val="00165271"/>
    <w:rsid w:val="00193995"/>
    <w:rsid w:val="001B4992"/>
    <w:rsid w:val="001E1A56"/>
    <w:rsid w:val="001E33ED"/>
    <w:rsid w:val="002031DB"/>
    <w:rsid w:val="002125C0"/>
    <w:rsid w:val="002146A1"/>
    <w:rsid w:val="00223729"/>
    <w:rsid w:val="00227490"/>
    <w:rsid w:val="002349CB"/>
    <w:rsid w:val="00246894"/>
    <w:rsid w:val="00271AD4"/>
    <w:rsid w:val="002828BA"/>
    <w:rsid w:val="00284856"/>
    <w:rsid w:val="00295589"/>
    <w:rsid w:val="002960AD"/>
    <w:rsid w:val="00297FDC"/>
    <w:rsid w:val="002A7F49"/>
    <w:rsid w:val="002D0719"/>
    <w:rsid w:val="002F063C"/>
    <w:rsid w:val="00313481"/>
    <w:rsid w:val="00347FEE"/>
    <w:rsid w:val="00393F65"/>
    <w:rsid w:val="003B3339"/>
    <w:rsid w:val="003C164B"/>
    <w:rsid w:val="003E2ABF"/>
    <w:rsid w:val="00415548"/>
    <w:rsid w:val="004169AB"/>
    <w:rsid w:val="00427624"/>
    <w:rsid w:val="00443F4A"/>
    <w:rsid w:val="004712E3"/>
    <w:rsid w:val="0048083C"/>
    <w:rsid w:val="00483921"/>
    <w:rsid w:val="00490E05"/>
    <w:rsid w:val="00494099"/>
    <w:rsid w:val="004A39D2"/>
    <w:rsid w:val="005111AD"/>
    <w:rsid w:val="00541B84"/>
    <w:rsid w:val="00573E97"/>
    <w:rsid w:val="00592E6F"/>
    <w:rsid w:val="005A6F1C"/>
    <w:rsid w:val="005F0141"/>
    <w:rsid w:val="005F062C"/>
    <w:rsid w:val="005F0684"/>
    <w:rsid w:val="005F7DD5"/>
    <w:rsid w:val="00603462"/>
    <w:rsid w:val="00635D39"/>
    <w:rsid w:val="006930CE"/>
    <w:rsid w:val="006C4030"/>
    <w:rsid w:val="006E1891"/>
    <w:rsid w:val="006E2C94"/>
    <w:rsid w:val="00755974"/>
    <w:rsid w:val="007F1359"/>
    <w:rsid w:val="007F5151"/>
    <w:rsid w:val="00813508"/>
    <w:rsid w:val="008151B5"/>
    <w:rsid w:val="008B5AF5"/>
    <w:rsid w:val="008F7087"/>
    <w:rsid w:val="00935279"/>
    <w:rsid w:val="009566FA"/>
    <w:rsid w:val="00965430"/>
    <w:rsid w:val="009676F8"/>
    <w:rsid w:val="009741BA"/>
    <w:rsid w:val="009B083D"/>
    <w:rsid w:val="009B3010"/>
    <w:rsid w:val="009E4B6B"/>
    <w:rsid w:val="00A12E4B"/>
    <w:rsid w:val="00A85EC5"/>
    <w:rsid w:val="00A95B1C"/>
    <w:rsid w:val="00AD3923"/>
    <w:rsid w:val="00AF12F2"/>
    <w:rsid w:val="00AF1361"/>
    <w:rsid w:val="00B241F2"/>
    <w:rsid w:val="00B64F2B"/>
    <w:rsid w:val="00B90EEA"/>
    <w:rsid w:val="00B91437"/>
    <w:rsid w:val="00B96CE9"/>
    <w:rsid w:val="00BA7D99"/>
    <w:rsid w:val="00BD0CC0"/>
    <w:rsid w:val="00BD0FF8"/>
    <w:rsid w:val="00BD1257"/>
    <w:rsid w:val="00BE3BCD"/>
    <w:rsid w:val="00C055F1"/>
    <w:rsid w:val="00CA21AF"/>
    <w:rsid w:val="00CD681B"/>
    <w:rsid w:val="00D067AF"/>
    <w:rsid w:val="00D31AE2"/>
    <w:rsid w:val="00D50C12"/>
    <w:rsid w:val="00D64B2D"/>
    <w:rsid w:val="00D673CF"/>
    <w:rsid w:val="00D81A2D"/>
    <w:rsid w:val="00D96BB5"/>
    <w:rsid w:val="00DA11A2"/>
    <w:rsid w:val="00DA4925"/>
    <w:rsid w:val="00DB2513"/>
    <w:rsid w:val="00DC04CA"/>
    <w:rsid w:val="00DC4680"/>
    <w:rsid w:val="00E039FA"/>
    <w:rsid w:val="00E03E41"/>
    <w:rsid w:val="00E246B9"/>
    <w:rsid w:val="00E256FC"/>
    <w:rsid w:val="00E279AF"/>
    <w:rsid w:val="00E4038B"/>
    <w:rsid w:val="00E4350C"/>
    <w:rsid w:val="00E70B0D"/>
    <w:rsid w:val="00EB71CB"/>
    <w:rsid w:val="00EC2A84"/>
    <w:rsid w:val="00EC647C"/>
    <w:rsid w:val="00F03D16"/>
    <w:rsid w:val="00F15FDF"/>
    <w:rsid w:val="00F20709"/>
    <w:rsid w:val="00F32579"/>
    <w:rsid w:val="00F354F5"/>
    <w:rsid w:val="00F37414"/>
    <w:rsid w:val="00F37A2E"/>
    <w:rsid w:val="00F42D5F"/>
    <w:rsid w:val="00F43F9D"/>
    <w:rsid w:val="00F60771"/>
    <w:rsid w:val="00F64ABD"/>
    <w:rsid w:val="00FA00F1"/>
    <w:rsid w:val="00FE6858"/>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FA9A"/>
  <w15:chartTrackingRefBased/>
  <w15:docId w15:val="{5045804F-809B-4037-93C4-FD6F6D20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62C"/>
    <w:pPr>
      <w:spacing w:after="0" w:line="240" w:lineRule="auto"/>
    </w:pPr>
    <w:rPr>
      <w:rFonts w:ascii="Futuris" w:eastAsia="Times New Roman" w:hAnsi="Futuris" w:cs="Times New Roman"/>
      <w:sz w:val="24"/>
      <w:szCs w:val="24"/>
      <w:lang w:bidi="en-US"/>
    </w:rPr>
  </w:style>
  <w:style w:type="paragraph" w:styleId="1">
    <w:name w:val="heading 1"/>
    <w:aliases w:val="Заголов,H1,Caaieia,Header1,Ch,Chapter,Section,Section Heading,Hoofdstukkop,level 1,level1,Heading 1 deutsch,SOW-Level 1,1 Level 1,1 Heading,1L Heading"/>
    <w:basedOn w:val="a"/>
    <w:next w:val="a"/>
    <w:link w:val="10"/>
    <w:qFormat/>
    <w:rsid w:val="005F062C"/>
    <w:pPr>
      <w:keepNext/>
      <w:widowControl w:val="0"/>
      <w:shd w:val="clear" w:color="auto" w:fill="FFFFFF"/>
      <w:snapToGrid w:val="0"/>
      <w:spacing w:before="43" w:line="526" w:lineRule="exact"/>
      <w:ind w:left="270" w:right="699" w:hanging="252"/>
      <w:jc w:val="center"/>
      <w:outlineLvl w:val="0"/>
    </w:pPr>
    <w:rPr>
      <w:rFonts w:ascii="Times New Roman" w:hAnsi="Times New Roman"/>
      <w:b/>
      <w:color w:val="000000"/>
      <w:spacing w:val="-6"/>
      <w:szCs w:val="20"/>
    </w:rPr>
  </w:style>
  <w:style w:type="paragraph" w:styleId="2">
    <w:name w:val="heading 2"/>
    <w:aliases w:val="titre sous-section,hseHeading 2,Major,ParaLvl2,Ma,Reset numbering,1.1,Heading 2 Char1,Heading 2 Char Char,Paragraafkop Char Char,Paragraafkop Char1,Paragraafkop Char,Paragraafkop,Chapter Title,Chapter Title Char,level 2,level2,2 Level 2"/>
    <w:basedOn w:val="a"/>
    <w:next w:val="a"/>
    <w:link w:val="20"/>
    <w:qFormat/>
    <w:rsid w:val="005F062C"/>
    <w:pPr>
      <w:keepNext/>
      <w:numPr>
        <w:numId w:val="1"/>
      </w:numPr>
      <w:spacing w:before="240" w:after="60"/>
      <w:jc w:val="center"/>
      <w:outlineLvl w:val="1"/>
    </w:pPr>
    <w:rPr>
      <w:rFonts w:ascii="Times New Roman" w:hAnsi="Times New Roman"/>
      <w:b/>
      <w:bCs/>
      <w:iCs/>
    </w:rPr>
  </w:style>
  <w:style w:type="paragraph" w:styleId="3">
    <w:name w:val="heading 3"/>
    <w:aliases w:val="hseHeading 3,1.1.1,Heading 3 Char2,Heading 3 Char1 Char,Heading 3 Char Char Char,Minor Char Char Char,Numbered - 3 Char Char Char,MI Char Char Char,Heading 3 Char Char1 Char,Minor Char Char1 Char,Numbered - 3 Char Char1 Char,MI Char Char1 Ch"/>
    <w:basedOn w:val="a"/>
    <w:next w:val="a"/>
    <w:link w:val="30"/>
    <w:qFormat/>
    <w:rsid w:val="005F062C"/>
    <w:pPr>
      <w:keepNext/>
      <w:numPr>
        <w:ilvl w:val="1"/>
        <w:numId w:val="1"/>
      </w:numPr>
      <w:spacing w:before="240" w:after="60"/>
      <w:jc w:val="center"/>
      <w:outlineLvl w:val="2"/>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 Знак,H1 Знак,Caaieia Знак,Header1 Знак,Ch Знак,Chapter Знак,Section Знак,Section Heading Знак,Hoofdstukkop Знак,level 1 Знак,level1 Знак,Heading 1 deutsch Знак,SOW-Level 1 Знак,1 Level 1 Знак,1 Heading Знак,1L Heading Знак"/>
    <w:basedOn w:val="a0"/>
    <w:link w:val="1"/>
    <w:rsid w:val="005F062C"/>
    <w:rPr>
      <w:rFonts w:ascii="Times New Roman" w:eastAsia="Times New Roman" w:hAnsi="Times New Roman" w:cs="Times New Roman"/>
      <w:b/>
      <w:color w:val="000000"/>
      <w:spacing w:val="-6"/>
      <w:sz w:val="24"/>
      <w:szCs w:val="20"/>
      <w:shd w:val="clear" w:color="auto" w:fill="FFFFFF"/>
      <w:lang w:bidi="en-US"/>
    </w:rPr>
  </w:style>
  <w:style w:type="character" w:customStyle="1" w:styleId="Heading2Char">
    <w:name w:val="Heading 2 Char"/>
    <w:basedOn w:val="a0"/>
    <w:uiPriority w:val="9"/>
    <w:semiHidden/>
    <w:rsid w:val="005F062C"/>
    <w:rPr>
      <w:rFonts w:asciiTheme="majorHAnsi" w:eastAsiaTheme="majorEastAsia" w:hAnsiTheme="majorHAnsi" w:cstheme="majorBidi"/>
      <w:color w:val="2F5496" w:themeColor="accent1" w:themeShade="BF"/>
      <w:sz w:val="26"/>
      <w:szCs w:val="26"/>
      <w:lang w:bidi="en-US"/>
    </w:rPr>
  </w:style>
  <w:style w:type="character" w:customStyle="1" w:styleId="30">
    <w:name w:val="Заголовок 3 Знак"/>
    <w:aliases w:val="hseHeading 3 Знак,1.1.1 Знак,Heading 3 Char2 Знак,Heading 3 Char1 Char Знак,Heading 3 Char Char Char Знак,Minor Char Char Char Знак,Numbered - 3 Char Char Char Знак,MI Char Char Char Знак,Heading 3 Char Char1 Char Знак"/>
    <w:basedOn w:val="a0"/>
    <w:link w:val="3"/>
    <w:rsid w:val="005F062C"/>
    <w:rPr>
      <w:rFonts w:ascii="Times New Roman" w:eastAsia="Times New Roman" w:hAnsi="Times New Roman" w:cs="Times New Roman"/>
      <w:b/>
      <w:bCs/>
      <w:sz w:val="24"/>
      <w:szCs w:val="24"/>
      <w:lang w:bidi="en-US"/>
    </w:rPr>
  </w:style>
  <w:style w:type="character" w:customStyle="1" w:styleId="20">
    <w:name w:val="Заголовок 2 Знак"/>
    <w:aliases w:val="titre sous-section Знак,hseHeading 2 Знак,Major Знак,ParaLvl2 Знак,Ma Знак,Reset numbering Знак,1.1 Знак,Heading 2 Char1 Знак,Heading 2 Char Char Знак,Paragraafkop Char Char Знак,Paragraafkop Char1 Знак,Paragraafkop Char Знак"/>
    <w:basedOn w:val="a0"/>
    <w:link w:val="2"/>
    <w:locked/>
    <w:rsid w:val="005F062C"/>
    <w:rPr>
      <w:rFonts w:ascii="Times New Roman" w:eastAsia="Times New Roman" w:hAnsi="Times New Roman" w:cs="Times New Roman"/>
      <w:b/>
      <w:bCs/>
      <w:iCs/>
      <w:sz w:val="24"/>
      <w:szCs w:val="24"/>
      <w:lang w:bidi="en-US"/>
    </w:rPr>
  </w:style>
  <w:style w:type="paragraph" w:styleId="a3">
    <w:name w:val="footnote text"/>
    <w:basedOn w:val="a"/>
    <w:link w:val="a4"/>
    <w:uiPriority w:val="99"/>
    <w:rsid w:val="005F062C"/>
    <w:rPr>
      <w:rFonts w:ascii="Times New Roman" w:hAnsi="Times New Roman"/>
      <w:sz w:val="20"/>
      <w:szCs w:val="20"/>
    </w:rPr>
  </w:style>
  <w:style w:type="character" w:customStyle="1" w:styleId="a4">
    <w:name w:val="Текст сноски Знак"/>
    <w:basedOn w:val="a0"/>
    <w:link w:val="a3"/>
    <w:uiPriority w:val="99"/>
    <w:rsid w:val="005F062C"/>
    <w:rPr>
      <w:rFonts w:ascii="Times New Roman" w:eastAsia="Times New Roman" w:hAnsi="Times New Roman" w:cs="Times New Roman"/>
      <w:sz w:val="20"/>
      <w:szCs w:val="20"/>
      <w:lang w:bidi="en-US"/>
    </w:rPr>
  </w:style>
  <w:style w:type="paragraph" w:styleId="a5">
    <w:name w:val="List Paragraph"/>
    <w:aliases w:val="Нумерованый список,List Paragraph1,Ioia?iaaiue nienie,Aacao nienea,3 Level 3,Bulleted Text,3L Bullets,3L Clause"/>
    <w:basedOn w:val="a"/>
    <w:link w:val="a6"/>
    <w:uiPriority w:val="34"/>
    <w:qFormat/>
    <w:rsid w:val="005F062C"/>
    <w:pPr>
      <w:ind w:left="720"/>
      <w:contextualSpacing/>
    </w:pPr>
  </w:style>
  <w:style w:type="character" w:styleId="a7">
    <w:name w:val="footnote reference"/>
    <w:basedOn w:val="a0"/>
    <w:uiPriority w:val="99"/>
    <w:rsid w:val="005F062C"/>
    <w:rPr>
      <w:rFonts w:ascii="CG Times" w:hAnsi="CG Times" w:cs="Times New Roman"/>
      <w:vertAlign w:val="superscript"/>
    </w:rPr>
  </w:style>
  <w:style w:type="character" w:customStyle="1" w:styleId="a6">
    <w:name w:val="Абзац списка Знак"/>
    <w:aliases w:val="Нумерованый список Знак,List Paragraph1 Знак,Ioia?iaaiue nienie Знак,Aacao nienea Знак,3 Level 3 Знак,Bulleted Text Знак,3L Bullets Знак,3L Clause Знак"/>
    <w:link w:val="a5"/>
    <w:uiPriority w:val="34"/>
    <w:locked/>
    <w:rsid w:val="005F062C"/>
    <w:rPr>
      <w:rFonts w:ascii="Futuris" w:eastAsia="Times New Roman" w:hAnsi="Futuris" w:cs="Times New Roman"/>
      <w:sz w:val="24"/>
      <w:szCs w:val="24"/>
      <w:lang w:bidi="en-US"/>
    </w:rPr>
  </w:style>
  <w:style w:type="paragraph" w:styleId="a8">
    <w:name w:val="Balloon Text"/>
    <w:basedOn w:val="a"/>
    <w:link w:val="a9"/>
    <w:uiPriority w:val="99"/>
    <w:semiHidden/>
    <w:unhideWhenUsed/>
    <w:rsid w:val="00F37414"/>
    <w:rPr>
      <w:rFonts w:ascii="Segoe UI" w:hAnsi="Segoe UI" w:cs="Segoe UI"/>
      <w:sz w:val="18"/>
      <w:szCs w:val="18"/>
    </w:rPr>
  </w:style>
  <w:style w:type="character" w:customStyle="1" w:styleId="a9">
    <w:name w:val="Текст выноски Знак"/>
    <w:basedOn w:val="a0"/>
    <w:link w:val="a8"/>
    <w:uiPriority w:val="99"/>
    <w:semiHidden/>
    <w:rsid w:val="00F37414"/>
    <w:rPr>
      <w:rFonts w:ascii="Segoe UI" w:eastAsia="Times New Roman" w:hAnsi="Segoe UI" w:cs="Segoe UI"/>
      <w:sz w:val="18"/>
      <w:szCs w:val="18"/>
      <w:lang w:bidi="en-US"/>
    </w:rPr>
  </w:style>
  <w:style w:type="character" w:styleId="aa">
    <w:name w:val="annotation reference"/>
    <w:basedOn w:val="a0"/>
    <w:uiPriority w:val="99"/>
    <w:semiHidden/>
    <w:unhideWhenUsed/>
    <w:rsid w:val="00D673CF"/>
    <w:rPr>
      <w:sz w:val="16"/>
      <w:szCs w:val="16"/>
    </w:rPr>
  </w:style>
  <w:style w:type="paragraph" w:styleId="ab">
    <w:name w:val="annotation text"/>
    <w:basedOn w:val="a"/>
    <w:link w:val="ac"/>
    <w:uiPriority w:val="99"/>
    <w:semiHidden/>
    <w:unhideWhenUsed/>
    <w:rsid w:val="00D673CF"/>
    <w:rPr>
      <w:sz w:val="20"/>
      <w:szCs w:val="20"/>
    </w:rPr>
  </w:style>
  <w:style w:type="character" w:customStyle="1" w:styleId="ac">
    <w:name w:val="Текст примечания Знак"/>
    <w:basedOn w:val="a0"/>
    <w:link w:val="ab"/>
    <w:uiPriority w:val="99"/>
    <w:semiHidden/>
    <w:rsid w:val="00D673CF"/>
    <w:rPr>
      <w:rFonts w:ascii="Futuris" w:eastAsia="Times New Roman" w:hAnsi="Futuris" w:cs="Times New Roman"/>
      <w:sz w:val="20"/>
      <w:szCs w:val="20"/>
      <w:lang w:bidi="en-US"/>
    </w:rPr>
  </w:style>
  <w:style w:type="paragraph" w:styleId="ad">
    <w:name w:val="annotation subject"/>
    <w:basedOn w:val="ab"/>
    <w:next w:val="ab"/>
    <w:link w:val="ae"/>
    <w:uiPriority w:val="99"/>
    <w:semiHidden/>
    <w:unhideWhenUsed/>
    <w:rsid w:val="00D673CF"/>
    <w:rPr>
      <w:b/>
      <w:bCs/>
    </w:rPr>
  </w:style>
  <w:style w:type="character" w:customStyle="1" w:styleId="ae">
    <w:name w:val="Тема примечания Знак"/>
    <w:basedOn w:val="ac"/>
    <w:link w:val="ad"/>
    <w:uiPriority w:val="99"/>
    <w:semiHidden/>
    <w:rsid w:val="00D673CF"/>
    <w:rPr>
      <w:rFonts w:ascii="Futuris" w:eastAsia="Times New Roman" w:hAnsi="Futuris" w:cs="Times New Roman"/>
      <w:b/>
      <w:bCs/>
      <w:sz w:val="20"/>
      <w:szCs w:val="20"/>
      <w:lang w:bidi="en-US"/>
    </w:rPr>
  </w:style>
  <w:style w:type="paragraph" w:styleId="af">
    <w:name w:val="Revision"/>
    <w:hidden/>
    <w:uiPriority w:val="99"/>
    <w:semiHidden/>
    <w:rsid w:val="00BD0FF8"/>
    <w:pPr>
      <w:spacing w:after="0" w:line="240" w:lineRule="auto"/>
    </w:pPr>
    <w:rPr>
      <w:rFonts w:ascii="Futuris" w:eastAsia="Times New Roman" w:hAnsi="Futuri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4808">
      <w:bodyDiv w:val="1"/>
      <w:marLeft w:val="0"/>
      <w:marRight w:val="0"/>
      <w:marTop w:val="0"/>
      <w:marBottom w:val="0"/>
      <w:divBdr>
        <w:top w:val="none" w:sz="0" w:space="0" w:color="auto"/>
        <w:left w:val="none" w:sz="0" w:space="0" w:color="auto"/>
        <w:bottom w:val="none" w:sz="0" w:space="0" w:color="auto"/>
        <w:right w:val="none" w:sz="0" w:space="0" w:color="auto"/>
      </w:divBdr>
    </w:div>
    <w:div w:id="41027648">
      <w:bodyDiv w:val="1"/>
      <w:marLeft w:val="0"/>
      <w:marRight w:val="0"/>
      <w:marTop w:val="0"/>
      <w:marBottom w:val="0"/>
      <w:divBdr>
        <w:top w:val="none" w:sz="0" w:space="0" w:color="auto"/>
        <w:left w:val="none" w:sz="0" w:space="0" w:color="auto"/>
        <w:bottom w:val="none" w:sz="0" w:space="0" w:color="auto"/>
        <w:right w:val="none" w:sz="0" w:space="0" w:color="auto"/>
      </w:divBdr>
    </w:div>
    <w:div w:id="175847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Gerasimchuk, Georgy</dc:creator>
  <cp:keywords/>
  <dc:description/>
  <cp:lastModifiedBy>Khan, Pavel N.</cp:lastModifiedBy>
  <cp:revision>5</cp:revision>
  <dcterms:created xsi:type="dcterms:W3CDTF">2022-06-13T22:00:00Z</dcterms:created>
  <dcterms:modified xsi:type="dcterms:W3CDTF">2022-06-17T20:15:00Z</dcterms:modified>
</cp:coreProperties>
</file>