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073FACBF"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91356F">
              <w:rPr>
                <w:rFonts w:ascii="Times New Roman" w:hAnsi="Times New Roman"/>
                <w:color w:val="000000" w:themeColor="text1"/>
                <w:sz w:val="28"/>
              </w:rPr>
              <w:t xml:space="preserve"> </w:t>
            </w:r>
            <w:r w:rsidR="0091356F" w:rsidRPr="0091356F">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979B5D9" w:rsidR="00AB3F7D" w:rsidRPr="00C660CE" w:rsidRDefault="0091356F" w:rsidP="0091356F">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49C093D9" w14:textId="53DE8261" w:rsidR="009F3140" w:rsidRPr="003A5E9D" w:rsidRDefault="003C7CB8" w:rsidP="00AB3F7D">
      <w:pPr>
        <w:spacing w:after="0"/>
        <w:jc w:val="center"/>
        <w:rPr>
          <w:rFonts w:ascii="Times New Roman" w:hAnsi="Times New Roman"/>
          <w:b/>
          <w:bCs/>
          <w:color w:val="000000" w:themeColor="text1"/>
          <w:sz w:val="28"/>
          <w:szCs w:val="28"/>
        </w:rPr>
      </w:pPr>
      <w:r>
        <w:rPr>
          <w:rFonts w:ascii="Times New Roman" w:hAnsi="Times New Roman"/>
          <w:b/>
          <w:bCs/>
          <w:sz w:val="28"/>
          <w:szCs w:val="28"/>
        </w:rPr>
        <w:t>TRANSLATION</w:t>
      </w:r>
      <w:r w:rsidR="003A5E9D" w:rsidRPr="003A5E9D">
        <w:rPr>
          <w:rFonts w:ascii="Times New Roman" w:hAnsi="Times New Roman"/>
          <w:b/>
          <w:bCs/>
          <w:sz w:val="28"/>
          <w:szCs w:val="28"/>
        </w:rPr>
        <w:t xml:space="preserve"> SERVICES</w:t>
      </w:r>
    </w:p>
    <w:p w14:paraId="7BF4BCC0" w14:textId="77777777" w:rsidR="00EB6324" w:rsidRDefault="00EB6324" w:rsidP="00AB3F7D">
      <w:pPr>
        <w:pStyle w:val="Heading1"/>
        <w:tabs>
          <w:tab w:val="left" w:pos="2813"/>
        </w:tabs>
      </w:pPr>
    </w:p>
    <w:p w14:paraId="76FA188B" w14:textId="28B280DE" w:rsidR="00AB3F7D" w:rsidRPr="00C660CE" w:rsidRDefault="00AB3F7D" w:rsidP="00AB3F7D">
      <w:pPr>
        <w:pStyle w:val="Heading1"/>
        <w:tabs>
          <w:tab w:val="left" w:pos="2813"/>
        </w:tabs>
        <w:rPr>
          <w:color w:val="000000" w:themeColor="text1"/>
        </w:rPr>
      </w:pPr>
      <w:r>
        <w:t xml:space="preserve">Dear </w:t>
      </w:r>
      <w:r w:rsidR="0091356F">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(full name of the bidder)</w:t>
      </w:r>
    </w:p>
    <w:p w14:paraId="53B7110B" w14:textId="4D5EA8D4"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BodyTex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is familiar with and accepts all conditions in the facility / territory, where the work will be performed / services rendered / goods supplied;</w:t>
      </w:r>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548F946D" w14:textId="42BCEF2D" w:rsidR="00AB3F7D" w:rsidRPr="00C660CE" w:rsidRDefault="00AB3F7D" w:rsidP="0091356F">
      <w:pPr>
        <w:jc w:val="center"/>
        <w:rPr>
          <w:rFonts w:ascii="Times New Roman" w:hAnsi="Times New Roman"/>
          <w:b/>
          <w:color w:val="000000" w:themeColor="text1"/>
          <w:spacing w:val="-3"/>
          <w:sz w:val="28"/>
          <w:szCs w:val="28"/>
        </w:rPr>
      </w:pPr>
      <w:bookmarkStart w:id="0" w:name="_Toc414349676"/>
      <w:r>
        <w:rPr>
          <w:rFonts w:ascii="Times New Roman" w:hAnsi="Times New Roman"/>
          <w:b/>
          <w:color w:val="000000" w:themeColor="text1"/>
          <w:spacing w:val="-3"/>
          <w:sz w:val="28"/>
        </w:rPr>
        <w:br w:type="page"/>
      </w:r>
      <w:r>
        <w:rPr>
          <w:rFonts w:ascii="Times New Roman" w:hAnsi="Times New Roman"/>
          <w:b/>
          <w:color w:val="000000" w:themeColor="text1"/>
          <w:spacing w:val="-3"/>
          <w:sz w:val="28"/>
        </w:rPr>
        <w:lastRenderedPageBreak/>
        <w:t>DECLARATION OF CONFIDENTIALITY</w:t>
      </w:r>
      <w:bookmarkEnd w:id="0"/>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2F7B7AA0"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1"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1"/>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6D2548">
        <w:rPr>
          <w:rFonts w:ascii="Times New Roman" w:hAnsi="Times New Roman"/>
          <w:color w:val="000000" w:themeColor="text1"/>
          <w:spacing w:val="-3"/>
          <w:sz w:val="28"/>
        </w:rPr>
        <w:t>FWM</w:t>
      </w:r>
      <w:r w:rsidR="009E2A2E">
        <w:rPr>
          <w:rFonts w:ascii="Times New Roman" w:hAnsi="Times New Roman"/>
          <w:color w:val="000000" w:themeColor="text1"/>
          <w:spacing w:val="-3"/>
          <w:sz w:val="28"/>
        </w:rPr>
        <w:t>________</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0A7730F4" w14:textId="77777777" w:rsidR="003A5E9D" w:rsidRPr="00C660CE" w:rsidRDefault="003A5E9D" w:rsidP="003A5E9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w:t>
      </w:r>
      <w:proofErr w:type="gramStart"/>
      <w:r>
        <w:rPr>
          <w:rFonts w:ascii="Times New Roman" w:hAnsi="Times New Roman"/>
          <w:color w:val="000000" w:themeColor="text1"/>
          <w:spacing w:val="-3"/>
          <w:sz w:val="28"/>
        </w:rPr>
        <w:t>termination</w:t>
      </w:r>
      <w:proofErr w:type="gramEnd"/>
      <w:r>
        <w:rPr>
          <w:rFonts w:ascii="Times New Roman" w:hAnsi="Times New Roman"/>
          <w:color w:val="000000" w:themeColor="text1"/>
          <w:spacing w:val="-3"/>
          <w:sz w:val="28"/>
        </w:rPr>
        <w:t xml:space="preserve">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A0F8" w14:textId="77777777" w:rsidR="004773C7" w:rsidRDefault="004773C7">
      <w:pPr>
        <w:spacing w:after="0" w:line="240" w:lineRule="auto"/>
      </w:pPr>
      <w:r>
        <w:separator/>
      </w:r>
    </w:p>
  </w:endnote>
  <w:endnote w:type="continuationSeparator" w:id="0">
    <w:p w14:paraId="15866D28" w14:textId="77777777" w:rsidR="004773C7" w:rsidRDefault="0047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9E2A2E"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91356F">
          <w:rPr>
            <w:noProof/>
          </w:rPr>
          <w:t>4</w:t>
        </w:r>
        <w:r>
          <w:rPr>
            <w:noProof/>
          </w:rPr>
          <w:fldChar w:fldCharType="end"/>
        </w:r>
      </w:p>
    </w:sdtContent>
  </w:sdt>
  <w:p w14:paraId="157A9D22" w14:textId="77777777" w:rsidR="0054457B" w:rsidRDefault="009E2A2E"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4AF0" w14:textId="77777777" w:rsidR="004773C7" w:rsidRDefault="004773C7">
      <w:pPr>
        <w:spacing w:after="0" w:line="240" w:lineRule="auto"/>
      </w:pPr>
      <w:r>
        <w:separator/>
      </w:r>
    </w:p>
  </w:footnote>
  <w:footnote w:type="continuationSeparator" w:id="0">
    <w:p w14:paraId="2BC647BB" w14:textId="77777777" w:rsidR="004773C7" w:rsidRDefault="00477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999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810832">
    <w:abstractNumId w:val="0"/>
    <w:lvlOverride w:ilvl="0">
      <w:startOverride w:val="1"/>
    </w:lvlOverride>
  </w:num>
  <w:num w:numId="2" w16cid:durableId="2051030905">
    <w:abstractNumId w:val="1"/>
  </w:num>
  <w:num w:numId="3" w16cid:durableId="471825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307D7E"/>
    <w:rsid w:val="00345E5D"/>
    <w:rsid w:val="003A5E9D"/>
    <w:rsid w:val="003C7CB8"/>
    <w:rsid w:val="004773C7"/>
    <w:rsid w:val="004A4D83"/>
    <w:rsid w:val="004B055C"/>
    <w:rsid w:val="006D2548"/>
    <w:rsid w:val="00722768"/>
    <w:rsid w:val="0074403B"/>
    <w:rsid w:val="008F6A6C"/>
    <w:rsid w:val="0091356F"/>
    <w:rsid w:val="009B7D10"/>
    <w:rsid w:val="009E2A2E"/>
    <w:rsid w:val="009F3140"/>
    <w:rsid w:val="00A602D0"/>
    <w:rsid w:val="00A67F58"/>
    <w:rsid w:val="00AB3F7D"/>
    <w:rsid w:val="00AB51AE"/>
    <w:rsid w:val="00B92B5A"/>
    <w:rsid w:val="00C175DC"/>
    <w:rsid w:val="00C3282C"/>
    <w:rsid w:val="00C52A7A"/>
    <w:rsid w:val="00C84D11"/>
    <w:rsid w:val="00C96DB9"/>
    <w:rsid w:val="00C97D7C"/>
    <w:rsid w:val="00D4162F"/>
    <w:rsid w:val="00DC073D"/>
    <w:rsid w:val="00E56295"/>
    <w:rsid w:val="00EB6324"/>
    <w:rsid w:val="00EC3D8B"/>
    <w:rsid w:val="00F0506B"/>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Batanin, Nikita</cp:lastModifiedBy>
  <cp:revision>20</cp:revision>
  <dcterms:created xsi:type="dcterms:W3CDTF">2018-09-07T13:00:00Z</dcterms:created>
  <dcterms:modified xsi:type="dcterms:W3CDTF">2022-12-14T19:09:00Z</dcterms:modified>
</cp:coreProperties>
</file>